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5027" w14:textId="154334E0" w:rsidR="004D6212" w:rsidRPr="00E210E7" w:rsidRDefault="0082405C" w:rsidP="0082405C">
      <w:pPr>
        <w:jc w:val="center"/>
        <w:rPr>
          <w:b/>
          <w:bCs/>
        </w:rPr>
      </w:pPr>
      <w:r w:rsidRPr="00E210E7">
        <w:rPr>
          <w:b/>
          <w:bCs/>
        </w:rPr>
        <w:t xml:space="preserve">Children and </w:t>
      </w:r>
      <w:r w:rsidR="001E4262">
        <w:rPr>
          <w:b/>
          <w:bCs/>
        </w:rPr>
        <w:t>Empire</w:t>
      </w:r>
      <w:r w:rsidRPr="00E210E7">
        <w:rPr>
          <w:b/>
          <w:bCs/>
        </w:rPr>
        <w:t xml:space="preserve">: How discourses of </w:t>
      </w:r>
      <w:r w:rsidR="001E4262">
        <w:rPr>
          <w:b/>
          <w:bCs/>
        </w:rPr>
        <w:t>Empire</w:t>
      </w:r>
      <w:r w:rsidRPr="00E210E7">
        <w:rPr>
          <w:b/>
          <w:bCs/>
        </w:rPr>
        <w:t xml:space="preserve"> permeated Victorian childhood before and after the 1</w:t>
      </w:r>
      <w:r w:rsidR="00A53C4A" w:rsidRPr="00E210E7">
        <w:rPr>
          <w:b/>
          <w:bCs/>
        </w:rPr>
        <w:t>8</w:t>
      </w:r>
      <w:r w:rsidRPr="00E210E7">
        <w:rPr>
          <w:b/>
          <w:bCs/>
        </w:rPr>
        <w:t>70 Education Act</w:t>
      </w:r>
    </w:p>
    <w:p w14:paraId="12722B45" w14:textId="77777777" w:rsidR="0082405C" w:rsidRPr="00E210E7" w:rsidRDefault="0082405C" w:rsidP="0038127D">
      <w:pPr>
        <w:spacing w:line="360" w:lineRule="auto"/>
        <w:jc w:val="center"/>
        <w:rPr>
          <w:b/>
          <w:bCs/>
        </w:rPr>
      </w:pPr>
    </w:p>
    <w:p w14:paraId="204EBFED" w14:textId="5DA2BFDF" w:rsidR="00EC12B0" w:rsidRPr="00E210E7" w:rsidRDefault="0006536E" w:rsidP="0038127D">
      <w:pPr>
        <w:spacing w:line="360" w:lineRule="auto"/>
      </w:pPr>
      <w:r w:rsidRPr="00E210E7">
        <w:t xml:space="preserve">While the British </w:t>
      </w:r>
      <w:r w:rsidR="001E4262">
        <w:t>Empire</w:t>
      </w:r>
      <w:r w:rsidRPr="00E210E7">
        <w:t xml:space="preserve"> is </w:t>
      </w:r>
      <w:r w:rsidR="001C5862" w:rsidRPr="00E210E7">
        <w:t>acknowledged</w:t>
      </w:r>
      <w:r w:rsidRPr="00E210E7">
        <w:t xml:space="preserve"> to have functioned </w:t>
      </w:r>
      <w:r w:rsidR="00AE1420" w:rsidRPr="00E210E7">
        <w:t xml:space="preserve">from </w:t>
      </w:r>
      <w:r w:rsidR="00611ED3" w:rsidRPr="00E210E7">
        <w:t>the fifteen</w:t>
      </w:r>
      <w:r w:rsidR="00582CE5" w:rsidRPr="00E210E7">
        <w:t>th</w:t>
      </w:r>
      <w:r w:rsidR="00611ED3" w:rsidRPr="00E210E7">
        <w:t xml:space="preserve"> and sixteenth centuries, it was </w:t>
      </w:r>
      <w:r w:rsidR="0026702D" w:rsidRPr="00E210E7">
        <w:t>during the nineteenth century</w:t>
      </w:r>
      <w:r w:rsidR="00563A23" w:rsidRPr="00E210E7">
        <w:t xml:space="preserve"> </w:t>
      </w:r>
      <w:r w:rsidR="00834D84" w:rsidRPr="00E210E7">
        <w:t xml:space="preserve">that </w:t>
      </w:r>
      <w:r w:rsidR="0026702D" w:rsidRPr="00E210E7">
        <w:t xml:space="preserve">the British </w:t>
      </w:r>
      <w:r w:rsidR="001E4262">
        <w:t>Empire</w:t>
      </w:r>
      <w:r w:rsidR="007C4E84" w:rsidRPr="00E210E7">
        <w:t xml:space="preserve"> expanded greatly in terms of size, </w:t>
      </w:r>
      <w:r w:rsidR="008C5404" w:rsidRPr="00E210E7">
        <w:t>population,</w:t>
      </w:r>
      <w:r w:rsidR="007C4E84" w:rsidRPr="00E210E7">
        <w:t xml:space="preserve"> and wealth.</w:t>
      </w:r>
      <w:r w:rsidR="00834D84" w:rsidRPr="00E210E7">
        <w:rPr>
          <w:rStyle w:val="FootnoteReference"/>
        </w:rPr>
        <w:footnoteReference w:id="1"/>
      </w:r>
      <w:r w:rsidR="0062521A" w:rsidRPr="00E210E7">
        <w:t xml:space="preserve"> </w:t>
      </w:r>
      <w:r w:rsidR="008C1E2B" w:rsidRPr="00E210E7">
        <w:t>Dominating the nineteenth century, t</w:t>
      </w:r>
      <w:r w:rsidR="00E32814" w:rsidRPr="00E210E7">
        <w:t>he Victorian Era, 1837-1901</w:t>
      </w:r>
      <w:r w:rsidR="00E57619" w:rsidRPr="00E210E7">
        <w:t xml:space="preserve">, </w:t>
      </w:r>
      <w:r w:rsidR="00D86D94" w:rsidRPr="00E210E7">
        <w:t>in which Queen Victoria reigned over Great Britain</w:t>
      </w:r>
      <w:r w:rsidR="009D3324" w:rsidRPr="00E210E7">
        <w:t>, is considered by scholars such as Amy L</w:t>
      </w:r>
      <w:r w:rsidR="00651F11" w:rsidRPr="00E210E7">
        <w:t>l</w:t>
      </w:r>
      <w:r w:rsidR="009D3324" w:rsidRPr="00E210E7">
        <w:t xml:space="preserve">yod and Peter Marshall </w:t>
      </w:r>
      <w:r w:rsidR="00651F11" w:rsidRPr="00E210E7">
        <w:t xml:space="preserve">to be a period in British history in which monarchy increasingly identified with </w:t>
      </w:r>
      <w:r w:rsidR="001E4262">
        <w:t>Empire</w:t>
      </w:r>
      <w:r w:rsidR="00651F11" w:rsidRPr="00E210E7">
        <w:t>.</w:t>
      </w:r>
      <w:r w:rsidR="000A55E7" w:rsidRPr="00E210E7">
        <w:rPr>
          <w:rStyle w:val="FootnoteReference"/>
        </w:rPr>
        <w:footnoteReference w:id="2"/>
      </w:r>
      <w:r w:rsidR="00392851" w:rsidRPr="00E210E7">
        <w:t xml:space="preserve"> Indeed, Queen Victoria was granted the title of Empress of India in 1876</w:t>
      </w:r>
      <w:r w:rsidR="00A12BDE" w:rsidRPr="00E210E7">
        <w:t xml:space="preserve">; this, as well as occasions such as </w:t>
      </w:r>
      <w:r w:rsidR="00EF39CB" w:rsidRPr="00E210E7">
        <w:t xml:space="preserve">Queen Victoria’s Golden and Diamond Jubilees 1887 and 1897, </w:t>
      </w:r>
      <w:r w:rsidR="00D063C4" w:rsidRPr="00E210E7">
        <w:t>continued to rouse imperialism towards the end of the nineteenth century</w:t>
      </w:r>
      <w:r w:rsidR="000A55E7" w:rsidRPr="00E210E7">
        <w:t>.</w:t>
      </w:r>
      <w:r w:rsidR="000A55E7" w:rsidRPr="00E210E7">
        <w:rPr>
          <w:rStyle w:val="FootnoteReference"/>
        </w:rPr>
        <w:footnoteReference w:id="3"/>
      </w:r>
      <w:r w:rsidR="001C1E3C" w:rsidRPr="00E210E7">
        <w:t xml:space="preserve"> </w:t>
      </w:r>
      <w:r w:rsidR="0062521A" w:rsidRPr="00E210E7">
        <w:t xml:space="preserve">Within this article, </w:t>
      </w:r>
      <w:r w:rsidR="0096141A" w:rsidRPr="00E210E7">
        <w:t xml:space="preserve">discourses of </w:t>
      </w:r>
      <w:r w:rsidR="001E4262">
        <w:t>Empire</w:t>
      </w:r>
      <w:r w:rsidR="0096141A" w:rsidRPr="00E210E7">
        <w:t xml:space="preserve"> can be understood as text</w:t>
      </w:r>
      <w:r w:rsidR="00A11EB9" w:rsidRPr="00E210E7">
        <w:t>,</w:t>
      </w:r>
      <w:r w:rsidR="0096141A" w:rsidRPr="00E210E7">
        <w:t xml:space="preserve"> discussion</w:t>
      </w:r>
      <w:r w:rsidR="00A11EB9" w:rsidRPr="00E210E7">
        <w:t xml:space="preserve"> an</w:t>
      </w:r>
      <w:r w:rsidR="00646E14" w:rsidRPr="00E210E7">
        <w:t>d ideals</w:t>
      </w:r>
      <w:r w:rsidR="00A11EB9" w:rsidRPr="00E210E7">
        <w:t xml:space="preserve"> </w:t>
      </w:r>
      <w:r w:rsidR="00646E14" w:rsidRPr="00E210E7">
        <w:t>concerning imperialism</w:t>
      </w:r>
      <w:r w:rsidR="00284551" w:rsidRPr="00E210E7">
        <w:t>.</w:t>
      </w:r>
      <w:r w:rsidR="00BD30B6" w:rsidRPr="00E210E7">
        <w:t xml:space="preserve"> Pramod </w:t>
      </w:r>
      <w:proofErr w:type="spellStart"/>
      <w:r w:rsidR="00BD30B6" w:rsidRPr="00E210E7">
        <w:t>Nayar</w:t>
      </w:r>
      <w:proofErr w:type="spellEnd"/>
      <w:r w:rsidR="00BD30B6" w:rsidRPr="00E210E7">
        <w:t xml:space="preserve"> suggests </w:t>
      </w:r>
      <w:r w:rsidR="00722DDC" w:rsidRPr="00E210E7">
        <w:t xml:space="preserve">in </w:t>
      </w:r>
      <w:r w:rsidR="00722DDC" w:rsidRPr="00E210E7">
        <w:rPr>
          <w:i/>
          <w:iCs/>
        </w:rPr>
        <w:t xml:space="preserve">Colonial Voices: The Discourses of </w:t>
      </w:r>
      <w:r w:rsidR="001E4262">
        <w:rPr>
          <w:i/>
          <w:iCs/>
        </w:rPr>
        <w:t>Empire</w:t>
      </w:r>
      <w:r w:rsidR="00415BF0" w:rsidRPr="00E210E7">
        <w:t>, that discourses are not only a reflection of events, but define realities for viewers, giving insight into lived experiences.</w:t>
      </w:r>
      <w:r w:rsidR="00415BF0" w:rsidRPr="00E210E7">
        <w:rPr>
          <w:vertAlign w:val="superscript"/>
        </w:rPr>
        <w:footnoteReference w:id="4"/>
      </w:r>
      <w:r w:rsidR="00BA1E75" w:rsidRPr="00E210E7">
        <w:t xml:space="preserve"> Accordingly, this article will examine </w:t>
      </w:r>
      <w:r w:rsidR="00A83617" w:rsidRPr="00E210E7">
        <w:t xml:space="preserve">the way in which discourses of </w:t>
      </w:r>
      <w:r w:rsidR="001E4262">
        <w:t>Empire</w:t>
      </w:r>
      <w:r w:rsidR="00A83617" w:rsidRPr="00E210E7">
        <w:t xml:space="preserve"> permeated </w:t>
      </w:r>
      <w:r w:rsidR="00116F74">
        <w:t>Victorian</w:t>
      </w:r>
      <w:r w:rsidR="009112E5" w:rsidRPr="00E210E7">
        <w:t xml:space="preserve"> experience</w:t>
      </w:r>
      <w:r w:rsidR="00116F74">
        <w:t>s</w:t>
      </w:r>
      <w:r w:rsidR="00A530CE" w:rsidRPr="00E210E7">
        <w:t xml:space="preserve"> of childhood</w:t>
      </w:r>
      <w:r w:rsidR="009112E5" w:rsidRPr="00E210E7">
        <w:t>, specifically, before and after the 1870 education Act.</w:t>
      </w:r>
    </w:p>
    <w:p w14:paraId="66C24F79" w14:textId="066C0189" w:rsidR="003A5B30" w:rsidRPr="00E210E7" w:rsidRDefault="00EC12B0" w:rsidP="0038127D">
      <w:pPr>
        <w:spacing w:line="360" w:lineRule="auto"/>
      </w:pPr>
      <w:r w:rsidRPr="00E210E7">
        <w:t xml:space="preserve">The </w:t>
      </w:r>
      <w:r w:rsidR="00267AE0" w:rsidRPr="00E210E7">
        <w:t xml:space="preserve">1870 </w:t>
      </w:r>
      <w:r w:rsidR="00116F74">
        <w:t xml:space="preserve">Elementary </w:t>
      </w:r>
      <w:r w:rsidR="00267AE0" w:rsidRPr="00E210E7">
        <w:t xml:space="preserve">Education Act, </w:t>
      </w:r>
      <w:r w:rsidR="00F1222B" w:rsidRPr="00E210E7">
        <w:t xml:space="preserve">in principle, </w:t>
      </w:r>
      <w:r w:rsidR="00D440DF" w:rsidRPr="00E210E7">
        <w:t>established the right of every child in England and Wales to some form of schooling.</w:t>
      </w:r>
      <w:r w:rsidR="00D440DF" w:rsidRPr="00E210E7">
        <w:rPr>
          <w:rStyle w:val="FootnoteReference"/>
        </w:rPr>
        <w:footnoteReference w:id="5"/>
      </w:r>
      <w:r w:rsidR="005373EB" w:rsidRPr="00E210E7">
        <w:t xml:space="preserve"> Though it did not provide universal, free</w:t>
      </w:r>
      <w:r w:rsidR="00786F9E" w:rsidRPr="00E210E7">
        <w:t>,</w:t>
      </w:r>
      <w:r w:rsidR="005373EB" w:rsidRPr="00E210E7">
        <w:t xml:space="preserve"> or compulsory education, it did </w:t>
      </w:r>
      <w:r w:rsidR="003726BE" w:rsidRPr="00E210E7">
        <w:t>address</w:t>
      </w:r>
      <w:r w:rsidR="00076B2C" w:rsidRPr="00E210E7">
        <w:t xml:space="preserve"> some</w:t>
      </w:r>
      <w:r w:rsidR="003726BE" w:rsidRPr="00E210E7">
        <w:t xml:space="preserve"> problems in a deficient education system by </w:t>
      </w:r>
      <w:r w:rsidR="00687A8C" w:rsidRPr="00E210E7">
        <w:t xml:space="preserve">establishing a set of school boards </w:t>
      </w:r>
      <w:r w:rsidR="00C62975" w:rsidRPr="00E210E7">
        <w:t>responsible for building and managing</w:t>
      </w:r>
      <w:r w:rsidR="00530527" w:rsidRPr="00E210E7">
        <w:t xml:space="preserve"> elementary schools where there was clear educational need.</w:t>
      </w:r>
      <w:r w:rsidR="00530527" w:rsidRPr="00E210E7">
        <w:rPr>
          <w:rStyle w:val="FootnoteReference"/>
        </w:rPr>
        <w:footnoteReference w:id="6"/>
      </w:r>
      <w:r w:rsidR="00DB143A" w:rsidRPr="00E210E7">
        <w:t xml:space="preserve"> </w:t>
      </w:r>
      <w:r w:rsidR="009130D9" w:rsidRPr="00E210E7">
        <w:t xml:space="preserve">Historians such as </w:t>
      </w:r>
      <w:r w:rsidR="00DB143A" w:rsidRPr="00E210E7">
        <w:t xml:space="preserve">Harris </w:t>
      </w:r>
      <w:r w:rsidR="009130D9" w:rsidRPr="00E210E7">
        <w:t xml:space="preserve">have argued </w:t>
      </w:r>
      <w:r w:rsidR="00BD3523" w:rsidRPr="00E210E7">
        <w:t>that the 1870 Education Act was a major turning point in nineteenth-century</w:t>
      </w:r>
      <w:r w:rsidR="00432D78" w:rsidRPr="00E210E7">
        <w:t xml:space="preserve"> </w:t>
      </w:r>
      <w:r w:rsidR="002114AF">
        <w:t>Britain</w:t>
      </w:r>
      <w:r w:rsidR="00432D78" w:rsidRPr="00E210E7">
        <w:t>, leading to a significant expansion in the provision of education</w:t>
      </w:r>
      <w:r w:rsidR="00597DC1" w:rsidRPr="00E210E7">
        <w:t>.</w:t>
      </w:r>
      <w:r w:rsidR="00C7512C" w:rsidRPr="00E210E7">
        <w:rPr>
          <w:vertAlign w:val="superscript"/>
        </w:rPr>
        <w:t xml:space="preserve"> </w:t>
      </w:r>
      <w:r w:rsidR="00C7512C" w:rsidRPr="00E210E7">
        <w:rPr>
          <w:vertAlign w:val="superscript"/>
        </w:rPr>
        <w:footnoteReference w:id="7"/>
      </w:r>
      <w:r w:rsidR="00D138BD" w:rsidRPr="00E210E7">
        <w:t xml:space="preserve"> </w:t>
      </w:r>
      <w:r w:rsidR="00597DC1" w:rsidRPr="00E210E7">
        <w:t>O</w:t>
      </w:r>
      <w:r w:rsidR="00D138BD" w:rsidRPr="00E210E7">
        <w:t xml:space="preserve">thers have highlighted </w:t>
      </w:r>
      <w:r w:rsidR="00AC240F" w:rsidRPr="00E210E7">
        <w:t>the way in which the Act awarded the state power over education</w:t>
      </w:r>
      <w:r w:rsidR="00332F78" w:rsidRPr="00E210E7">
        <w:t xml:space="preserve">, arguing </w:t>
      </w:r>
      <w:r w:rsidR="00597DC1" w:rsidRPr="00E210E7">
        <w:t>it overtly functioned as a form of social control.</w:t>
      </w:r>
      <w:r w:rsidR="00C7512C" w:rsidRPr="00E210E7">
        <w:rPr>
          <w:rStyle w:val="FootnoteReference"/>
        </w:rPr>
        <w:footnoteReference w:id="8"/>
      </w:r>
      <w:r w:rsidR="00E1790B" w:rsidRPr="00E210E7">
        <w:t xml:space="preserve"> Consequently, it is possible to </w:t>
      </w:r>
      <w:r w:rsidR="00E1790B" w:rsidRPr="00E210E7">
        <w:lastRenderedPageBreak/>
        <w:t xml:space="preserve">analyse the extent to which </w:t>
      </w:r>
      <w:r w:rsidR="00B45CDC" w:rsidRPr="00E210E7">
        <w:t xml:space="preserve">discourses of </w:t>
      </w:r>
      <w:r w:rsidR="001E4262">
        <w:t>Empire</w:t>
      </w:r>
      <w:r w:rsidR="00B45CDC" w:rsidRPr="00E210E7">
        <w:t xml:space="preserve"> permeated Victorian childhood before and after the 1870 Education Act.</w:t>
      </w:r>
    </w:p>
    <w:p w14:paraId="02250CF6" w14:textId="4CDCC7B9" w:rsidR="007B4132" w:rsidRPr="00E210E7" w:rsidRDefault="00324A66" w:rsidP="0038127D">
      <w:pPr>
        <w:spacing w:line="360" w:lineRule="auto"/>
        <w:rPr>
          <w:b/>
          <w:bCs/>
        </w:rPr>
      </w:pPr>
      <w:r w:rsidRPr="00E210E7">
        <w:rPr>
          <w:b/>
          <w:bCs/>
        </w:rPr>
        <w:t xml:space="preserve"> Imperialism in i</w:t>
      </w:r>
      <w:r w:rsidR="007B4132" w:rsidRPr="00E210E7">
        <w:rPr>
          <w:b/>
          <w:bCs/>
        </w:rPr>
        <w:t>nformal Education before the 1870 Education Act</w:t>
      </w:r>
    </w:p>
    <w:p w14:paraId="734D0474" w14:textId="5396D380" w:rsidR="007A2BC2" w:rsidRPr="00E210E7" w:rsidRDefault="007A2BC2" w:rsidP="0038127D">
      <w:pPr>
        <w:spacing w:line="360" w:lineRule="auto"/>
      </w:pPr>
      <w:r w:rsidRPr="00E210E7">
        <w:t xml:space="preserve">Before the regulation of education in 1870, children </w:t>
      </w:r>
      <w:r w:rsidR="0099282B" w:rsidRPr="00E210E7">
        <w:t xml:space="preserve">from </w:t>
      </w:r>
      <w:r w:rsidRPr="00E210E7">
        <w:t>across classes would have accessed informal education</w:t>
      </w:r>
      <w:r w:rsidR="0099282B" w:rsidRPr="00E210E7">
        <w:t xml:space="preserve"> in various ways.</w:t>
      </w:r>
      <w:r w:rsidRPr="00E210E7">
        <w:rPr>
          <w:vertAlign w:val="superscript"/>
        </w:rPr>
        <w:footnoteReference w:id="9"/>
      </w:r>
      <w:r w:rsidRPr="00E210E7">
        <w:t xml:space="preserve"> </w:t>
      </w:r>
      <w:r w:rsidR="00076B2C" w:rsidRPr="00E210E7">
        <w:t>Lower and w</w:t>
      </w:r>
      <w:r w:rsidRPr="00E210E7">
        <w:t xml:space="preserve">orking-class children were likely to have attended </w:t>
      </w:r>
      <w:r w:rsidR="00D5076F" w:rsidRPr="00E210E7">
        <w:t>beneficent</w:t>
      </w:r>
      <w:r w:rsidR="008858E6" w:rsidRPr="00E210E7">
        <w:t xml:space="preserve"> </w:t>
      </w:r>
      <w:r w:rsidRPr="00E210E7">
        <w:t>Sunday schools</w:t>
      </w:r>
      <w:r w:rsidR="00D179EC" w:rsidRPr="00E210E7">
        <w:t xml:space="preserve"> as students. These</w:t>
      </w:r>
      <w:r w:rsidRPr="00E210E7">
        <w:t xml:space="preserve"> taught not only religious </w:t>
      </w:r>
      <w:proofErr w:type="gramStart"/>
      <w:r w:rsidRPr="00E210E7">
        <w:t>curricula, but</w:t>
      </w:r>
      <w:proofErr w:type="gramEnd"/>
      <w:r w:rsidRPr="00E210E7">
        <w:t xml:space="preserve"> enforced social control and individual betterment through charitable events and organisations affiliated with the church.</w:t>
      </w:r>
      <w:r w:rsidRPr="00E210E7">
        <w:rPr>
          <w:vertAlign w:val="superscript"/>
        </w:rPr>
        <w:footnoteReference w:id="10"/>
      </w:r>
      <w:r w:rsidRPr="00E210E7">
        <w:t xml:space="preserve"> </w:t>
      </w:r>
      <w:r w:rsidR="001A6436" w:rsidRPr="00E210E7">
        <w:t xml:space="preserve">Recollections in the autobiographies of </w:t>
      </w:r>
      <w:r w:rsidR="00326FC0">
        <w:t>working-class</w:t>
      </w:r>
      <w:r w:rsidR="001A6436" w:rsidRPr="00E210E7">
        <w:t xml:space="preserve"> children highlight the importance </w:t>
      </w:r>
      <w:r w:rsidRPr="00E210E7">
        <w:t>of Sunday schools</w:t>
      </w:r>
      <w:r w:rsidR="009D2177" w:rsidRPr="00E210E7">
        <w:t xml:space="preserve"> </w:t>
      </w:r>
      <w:r w:rsidR="00F871FA" w:rsidRPr="00E210E7">
        <w:t>in</w:t>
      </w:r>
      <w:r w:rsidR="009D2177" w:rsidRPr="00E210E7">
        <w:t xml:space="preserve"> enhancing their quality of life.</w:t>
      </w:r>
      <w:r w:rsidRPr="00E210E7">
        <w:t xml:space="preserve"> Bessy Wallies recalls in her memoirs the ‘Tea days’ bestowed upon her community by her Sunday school, and the importance of these occasions to </w:t>
      </w:r>
      <w:r w:rsidR="00907A8B" w:rsidRPr="00E210E7">
        <w:t xml:space="preserve">the </w:t>
      </w:r>
      <w:r w:rsidRPr="00E210E7">
        <w:t>working-class and destitute children attending</w:t>
      </w:r>
      <w:r w:rsidR="009D2177" w:rsidRPr="00E210E7">
        <w:t>:</w:t>
      </w:r>
    </w:p>
    <w:p w14:paraId="6CB0CDA6" w14:textId="77777777" w:rsidR="007A2BC2" w:rsidRPr="00E210E7" w:rsidRDefault="007A2BC2" w:rsidP="0038127D">
      <w:pPr>
        <w:spacing w:line="360" w:lineRule="auto"/>
        <w:rPr>
          <w:i/>
          <w:iCs/>
        </w:rPr>
      </w:pPr>
      <w:r w:rsidRPr="00E210E7">
        <w:rPr>
          <w:i/>
          <w:iCs/>
        </w:rPr>
        <w:t>‘Food left over was carefully divided amongst the helpers, few of which ever tasted ham or cake except on Tea Day’.</w:t>
      </w:r>
      <w:r w:rsidRPr="00E210E7">
        <w:rPr>
          <w:i/>
          <w:iCs/>
          <w:vertAlign w:val="superscript"/>
        </w:rPr>
        <w:footnoteReference w:id="11"/>
      </w:r>
    </w:p>
    <w:p w14:paraId="5D4AD3C1" w14:textId="200B23AD" w:rsidR="00281C6C" w:rsidRPr="00E210E7" w:rsidRDefault="001D0DB1" w:rsidP="0038127D">
      <w:pPr>
        <w:spacing w:line="360" w:lineRule="auto"/>
      </w:pPr>
      <w:r w:rsidRPr="00E210E7">
        <w:t xml:space="preserve">Informal </w:t>
      </w:r>
      <w:r w:rsidR="00DC6C64" w:rsidRPr="00E210E7">
        <w:t>institution</w:t>
      </w:r>
      <w:r w:rsidRPr="00E210E7">
        <w:t>s in education</w:t>
      </w:r>
      <w:r w:rsidR="00C34204" w:rsidRPr="00E210E7">
        <w:t xml:space="preserve"> such as Sunday schools</w:t>
      </w:r>
      <w:r w:rsidRPr="00E210E7">
        <w:t xml:space="preserve"> </w:t>
      </w:r>
      <w:r w:rsidR="00D1043E" w:rsidRPr="00E210E7">
        <w:t xml:space="preserve">undoubtedly influenced </w:t>
      </w:r>
      <w:r w:rsidR="00326FC0">
        <w:t>working-class</w:t>
      </w:r>
      <w:r w:rsidR="00D1043E" w:rsidRPr="00E210E7">
        <w:t xml:space="preserve"> children </w:t>
      </w:r>
      <w:r w:rsidR="002552AE" w:rsidRPr="00E210E7">
        <w:t>by encouraging their continued commitment to organisations through food and ‘treat’ offerings.</w:t>
      </w:r>
      <w:r w:rsidR="002552AE" w:rsidRPr="00E210E7">
        <w:rPr>
          <w:vertAlign w:val="superscript"/>
        </w:rPr>
        <w:footnoteReference w:id="12"/>
      </w:r>
      <w:r w:rsidR="002552AE" w:rsidRPr="00E210E7">
        <w:t xml:space="preserve"> </w:t>
      </w:r>
      <w:r w:rsidR="00E5351B" w:rsidRPr="00E210E7">
        <w:t xml:space="preserve">While </w:t>
      </w:r>
      <w:proofErr w:type="spellStart"/>
      <w:r w:rsidR="00E5351B" w:rsidRPr="00E210E7">
        <w:t>Tholfsen</w:t>
      </w:r>
      <w:proofErr w:type="spellEnd"/>
      <w:r w:rsidR="00E5351B" w:rsidRPr="00E210E7">
        <w:t xml:space="preserve"> </w:t>
      </w:r>
      <w:r w:rsidR="005A78C6" w:rsidRPr="00E210E7">
        <w:t xml:space="preserve">suggests the </w:t>
      </w:r>
      <w:r w:rsidR="00A67A27" w:rsidRPr="00E210E7">
        <w:t>operation</w:t>
      </w:r>
      <w:r w:rsidR="005B69B4" w:rsidRPr="00E210E7">
        <w:t xml:space="preserve"> of philanthropic </w:t>
      </w:r>
      <w:r w:rsidR="00906BA5" w:rsidRPr="00E210E7">
        <w:t>institutions</w:t>
      </w:r>
      <w:r w:rsidR="005B69B4" w:rsidRPr="00E210E7">
        <w:t xml:space="preserve"> such as </w:t>
      </w:r>
      <w:r w:rsidR="00A13DD2" w:rsidRPr="00E210E7">
        <w:t xml:space="preserve">Sunday schools </w:t>
      </w:r>
      <w:r w:rsidR="00A67A27" w:rsidRPr="00E210E7">
        <w:t>in Victorian Britain ‘</w:t>
      </w:r>
      <w:r w:rsidR="00031A6B" w:rsidRPr="00E210E7">
        <w:t xml:space="preserve">contributed to the achievement of national and </w:t>
      </w:r>
      <w:r w:rsidR="00906BA5" w:rsidRPr="00E210E7">
        <w:t>imperial purposes</w:t>
      </w:r>
      <w:r w:rsidR="00A67A27" w:rsidRPr="00E210E7">
        <w:t xml:space="preserve">’, </w:t>
      </w:r>
      <w:r w:rsidR="005B327E" w:rsidRPr="00E210E7">
        <w:t>their influence on Vict</w:t>
      </w:r>
      <w:r w:rsidR="000C7A19" w:rsidRPr="00E210E7">
        <w:t>orian childhood is considered minimal.</w:t>
      </w:r>
      <w:r w:rsidR="00757CA6" w:rsidRPr="00E210E7">
        <w:rPr>
          <w:rStyle w:val="FootnoteReference"/>
        </w:rPr>
        <w:footnoteReference w:id="13"/>
      </w:r>
      <w:r w:rsidR="000C7A19" w:rsidRPr="00E210E7">
        <w:t xml:space="preserve"> Provision of valuable academic skill</w:t>
      </w:r>
      <w:r w:rsidR="009D421C" w:rsidRPr="00E210E7">
        <w:t xml:space="preserve"> or the instillment of imperialistic ideals is widely debated</w:t>
      </w:r>
      <w:r w:rsidR="00757CA6" w:rsidRPr="00E210E7">
        <w:t xml:space="preserve">, </w:t>
      </w:r>
      <w:r w:rsidR="0028107F" w:rsidRPr="00E210E7">
        <w:t xml:space="preserve">and historians such as Fraser have </w:t>
      </w:r>
      <w:r w:rsidR="00A30959" w:rsidRPr="00E210E7">
        <w:t>gone as far as to argue</w:t>
      </w:r>
      <w:r w:rsidR="003F60DC" w:rsidRPr="00E210E7">
        <w:t xml:space="preserve"> that some charity schools were considered </w:t>
      </w:r>
      <w:r w:rsidR="00876E69" w:rsidRPr="00E210E7">
        <w:t>‘no more than childminding establishments’</w:t>
      </w:r>
      <w:r w:rsidR="00907A8B" w:rsidRPr="00E210E7">
        <w:t>, ineffective in influencing children to any significant extent.</w:t>
      </w:r>
      <w:r w:rsidR="00876E69" w:rsidRPr="00E210E7">
        <w:rPr>
          <w:rStyle w:val="FootnoteReference"/>
        </w:rPr>
        <w:footnoteReference w:id="14"/>
      </w:r>
    </w:p>
    <w:p w14:paraId="55CE4EB7" w14:textId="6BB6705A" w:rsidR="007A2BC2" w:rsidRPr="00E210E7" w:rsidRDefault="0086365E" w:rsidP="0038127D">
      <w:pPr>
        <w:spacing w:line="360" w:lineRule="auto"/>
      </w:pPr>
      <w:r w:rsidRPr="00E210E7">
        <w:t>Middle</w:t>
      </w:r>
      <w:r w:rsidR="007A2BC2" w:rsidRPr="00E210E7">
        <w:t>-class engagement in Sunday school</w:t>
      </w:r>
      <w:r w:rsidR="00907A8B" w:rsidRPr="00E210E7">
        <w:t xml:space="preserve"> education</w:t>
      </w:r>
      <w:r w:rsidR="007A2BC2" w:rsidRPr="00E210E7">
        <w:t xml:space="preserve"> </w:t>
      </w:r>
      <w:r w:rsidR="00CE1829" w:rsidRPr="00E210E7">
        <w:t>wa</w:t>
      </w:r>
      <w:r w:rsidR="00B101EA" w:rsidRPr="00E210E7">
        <w:t xml:space="preserve">s </w:t>
      </w:r>
      <w:r w:rsidR="00CE1829" w:rsidRPr="00E210E7">
        <w:t>comparatively different.</w:t>
      </w:r>
      <w:r w:rsidR="00F444AA" w:rsidRPr="00E210E7">
        <w:t xml:space="preserve"> For girls especially</w:t>
      </w:r>
      <w:r w:rsidR="00AD6F66" w:rsidRPr="00E210E7">
        <w:t>,</w:t>
      </w:r>
      <w:r w:rsidR="00F82C8F" w:rsidRPr="00E210E7">
        <w:t xml:space="preserve"> Sunday schools </w:t>
      </w:r>
      <w:r w:rsidR="00E95DEA" w:rsidRPr="00E210E7">
        <w:t xml:space="preserve">functioned as an outlet for teaching and individual betterment, rather than </w:t>
      </w:r>
      <w:r w:rsidR="006D2E71" w:rsidRPr="00E210E7">
        <w:t xml:space="preserve">as </w:t>
      </w:r>
      <w:r w:rsidR="00E65725" w:rsidRPr="00E210E7">
        <w:t xml:space="preserve">an institution in which they might be taught. </w:t>
      </w:r>
      <w:r w:rsidR="007823A1" w:rsidRPr="00E210E7">
        <w:t xml:space="preserve">Sunday schools allowed middle-class girls </w:t>
      </w:r>
      <w:r w:rsidR="00F82C8F" w:rsidRPr="00E210E7">
        <w:t>to engage in apprentice roles, positively interacting with education in a way that was charitable, and ‘without compromising their class status or marriageability’.</w:t>
      </w:r>
      <w:r w:rsidR="00F82C8F" w:rsidRPr="00E210E7">
        <w:rPr>
          <w:vertAlign w:val="superscript"/>
        </w:rPr>
        <w:footnoteReference w:id="15"/>
      </w:r>
      <w:r w:rsidR="009678F1" w:rsidRPr="00E210E7">
        <w:t xml:space="preserve"> </w:t>
      </w:r>
      <w:r w:rsidR="007A2BC2" w:rsidRPr="00E210E7">
        <w:t xml:space="preserve">Arguably, the altruistic notion behind </w:t>
      </w:r>
      <w:r w:rsidR="007A2BC2" w:rsidRPr="00E210E7">
        <w:lastRenderedPageBreak/>
        <w:t xml:space="preserve">middle-class girls assisting the </w:t>
      </w:r>
      <w:r w:rsidR="00AE4C1C" w:rsidRPr="00E210E7">
        <w:t>most destitute</w:t>
      </w:r>
      <w:r w:rsidR="007A2BC2" w:rsidRPr="00E210E7">
        <w:t xml:space="preserve"> further elevated their position in society.</w:t>
      </w:r>
      <w:r w:rsidR="007A2BC2" w:rsidRPr="00E210E7">
        <w:rPr>
          <w:vertAlign w:val="superscript"/>
        </w:rPr>
        <w:footnoteReference w:id="16"/>
      </w:r>
      <w:r w:rsidR="007A2BC2" w:rsidRPr="00E210E7">
        <w:t xml:space="preserve"> </w:t>
      </w:r>
      <w:r w:rsidR="0022326B" w:rsidRPr="00E210E7">
        <w:t xml:space="preserve">Regardless of the whether imperialism did indeed permeate Victorian childhoods through Sunday school </w:t>
      </w:r>
      <w:r w:rsidR="002114AF">
        <w:t>education</w:t>
      </w:r>
      <w:r w:rsidR="0022326B" w:rsidRPr="00E210E7">
        <w:t>, it is important to recognise that before the 1870 Education Act,</w:t>
      </w:r>
      <w:r w:rsidR="003D39BB">
        <w:t xml:space="preserve"> education and class were largely interconnected. W</w:t>
      </w:r>
      <w:r w:rsidR="007A2BC2" w:rsidRPr="00E210E7">
        <w:t>orking and middle-class</w:t>
      </w:r>
      <w:r w:rsidR="004105B4" w:rsidRPr="00E210E7">
        <w:t xml:space="preserve"> children</w:t>
      </w:r>
      <w:r w:rsidR="007A2BC2" w:rsidRPr="00E210E7">
        <w:t xml:space="preserve"> were accessing the same informal education systems</w:t>
      </w:r>
      <w:r w:rsidR="003D39BB">
        <w:t>, though</w:t>
      </w:r>
      <w:r w:rsidR="007A2BC2" w:rsidRPr="00E210E7">
        <w:t xml:space="preserve"> in divergent ways</w:t>
      </w:r>
      <w:r w:rsidR="006119BB" w:rsidRPr="00E210E7">
        <w:t xml:space="preserve">, perpetuating class inequalities and allowing a power imbalance to persist. </w:t>
      </w:r>
      <w:r w:rsidR="00D94A14" w:rsidRPr="00E210E7">
        <w:t xml:space="preserve">Had it been prominent as </w:t>
      </w:r>
      <w:proofErr w:type="spellStart"/>
      <w:r w:rsidR="00D94A14" w:rsidRPr="00E210E7">
        <w:t>Tholfsen</w:t>
      </w:r>
      <w:proofErr w:type="spellEnd"/>
      <w:r w:rsidR="00D94A14" w:rsidRPr="00E210E7">
        <w:t xml:space="preserve"> has argued, i</w:t>
      </w:r>
      <w:r w:rsidR="00CF2FB3" w:rsidRPr="00E210E7">
        <w:t xml:space="preserve">mperialism would have influenced </w:t>
      </w:r>
      <w:r w:rsidR="00D94A14" w:rsidRPr="00E210E7">
        <w:t>the working and middle</w:t>
      </w:r>
      <w:r w:rsidR="00317ACD" w:rsidRPr="00E210E7">
        <w:t xml:space="preserve">-class </w:t>
      </w:r>
      <w:r w:rsidR="00467A5D" w:rsidRPr="00E210E7">
        <w:t>in an irregular manner.</w:t>
      </w:r>
    </w:p>
    <w:p w14:paraId="0A67B417" w14:textId="2627DBB3" w:rsidR="007B4132" w:rsidRPr="00E210E7" w:rsidRDefault="00324A66" w:rsidP="0038127D">
      <w:pPr>
        <w:spacing w:line="360" w:lineRule="auto"/>
        <w:rPr>
          <w:b/>
          <w:bCs/>
        </w:rPr>
      </w:pPr>
      <w:r w:rsidRPr="00E210E7">
        <w:rPr>
          <w:b/>
          <w:bCs/>
        </w:rPr>
        <w:t>Imperialism in f</w:t>
      </w:r>
      <w:r w:rsidR="007B4132" w:rsidRPr="00E210E7">
        <w:rPr>
          <w:b/>
          <w:bCs/>
        </w:rPr>
        <w:t>ormal education before the 1870 Education Act</w:t>
      </w:r>
    </w:p>
    <w:p w14:paraId="0AD1B30E" w14:textId="1E98201D" w:rsidR="001273CD" w:rsidRPr="00E210E7" w:rsidRDefault="00E14311" w:rsidP="0038127D">
      <w:pPr>
        <w:spacing w:line="360" w:lineRule="auto"/>
      </w:pPr>
      <w:r w:rsidRPr="00E210E7">
        <w:t>Alternative</w:t>
      </w:r>
      <w:r w:rsidR="00B17E16" w:rsidRPr="00E210E7">
        <w:t xml:space="preserve">, </w:t>
      </w:r>
      <w:r w:rsidR="003D66C4" w:rsidRPr="00E210E7">
        <w:t xml:space="preserve">formal education before </w:t>
      </w:r>
      <w:r w:rsidR="00B17E16" w:rsidRPr="00E210E7">
        <w:t>the introduction of the 187</w:t>
      </w:r>
      <w:r w:rsidR="00907039" w:rsidRPr="00E210E7">
        <w:t xml:space="preserve">0 Education Act </w:t>
      </w:r>
      <w:r w:rsidR="003D66C4" w:rsidRPr="00E210E7">
        <w:t xml:space="preserve">could be accessed </w:t>
      </w:r>
      <w:r w:rsidRPr="00E210E7">
        <w:t xml:space="preserve">through </w:t>
      </w:r>
      <w:r w:rsidR="00CE79E2" w:rsidRPr="00E210E7">
        <w:t>fee paying</w:t>
      </w:r>
      <w:r w:rsidRPr="00E210E7">
        <w:t xml:space="preserve"> and boarding schools.</w:t>
      </w:r>
      <w:r w:rsidR="000F4FFF" w:rsidRPr="00E210E7">
        <w:rPr>
          <w:vertAlign w:val="superscript"/>
        </w:rPr>
        <w:t xml:space="preserve"> </w:t>
      </w:r>
      <w:r w:rsidR="000F4FFF" w:rsidRPr="00E210E7">
        <w:rPr>
          <w:vertAlign w:val="superscript"/>
        </w:rPr>
        <w:footnoteReference w:id="17"/>
      </w:r>
      <w:r w:rsidRPr="00E210E7">
        <w:t xml:space="preserve"> </w:t>
      </w:r>
      <w:r w:rsidR="0024522A" w:rsidRPr="00E210E7">
        <w:t>This comprehensive form of education was</w:t>
      </w:r>
      <w:r w:rsidRPr="00E210E7">
        <w:t xml:space="preserve"> primarily accessed by </w:t>
      </w:r>
      <w:r w:rsidR="006951DA" w:rsidRPr="00E210E7">
        <w:t>middle and upper-class children</w:t>
      </w:r>
      <w:r w:rsidR="00800E8B" w:rsidRPr="00E210E7">
        <w:t>, on account of the requirement for fees, but also due to the economic necessity for working</w:t>
      </w:r>
      <w:r w:rsidR="00326FC0">
        <w:t>-</w:t>
      </w:r>
      <w:r w:rsidR="00800E8B" w:rsidRPr="00E210E7">
        <w:t>class children to contribute to family income.</w:t>
      </w:r>
      <w:r w:rsidR="000F4FFF" w:rsidRPr="00E210E7">
        <w:rPr>
          <w:vertAlign w:val="superscript"/>
        </w:rPr>
        <w:t xml:space="preserve"> </w:t>
      </w:r>
      <w:r w:rsidR="000F4FFF" w:rsidRPr="00E210E7">
        <w:rPr>
          <w:vertAlign w:val="superscript"/>
        </w:rPr>
        <w:footnoteReference w:id="18"/>
      </w:r>
      <w:r w:rsidR="00267C36" w:rsidRPr="00E210E7">
        <w:rPr>
          <w:vertAlign w:val="superscript"/>
        </w:rPr>
        <w:t xml:space="preserve"> </w:t>
      </w:r>
      <w:r w:rsidR="00907039" w:rsidRPr="00E210E7">
        <w:t xml:space="preserve"> W</w:t>
      </w:r>
      <w:r w:rsidR="00BD17A9" w:rsidRPr="00E210E7">
        <w:t>orking</w:t>
      </w:r>
      <w:r w:rsidR="00230B57" w:rsidRPr="00E210E7">
        <w:t>-class children would be able to access a degree of formal education th</w:t>
      </w:r>
      <w:r w:rsidR="00B17E16" w:rsidRPr="00E210E7">
        <w:t xml:space="preserve">rough </w:t>
      </w:r>
      <w:r w:rsidR="00267C36" w:rsidRPr="00E210E7">
        <w:t>workhouses and industrial schools, while the most destitute</w:t>
      </w:r>
      <w:r w:rsidR="002114AF">
        <w:t>, or ‘paupers’,</w:t>
      </w:r>
      <w:r w:rsidR="00267C36" w:rsidRPr="00E210E7">
        <w:t xml:space="preserve"> were provided with</w:t>
      </w:r>
      <w:r w:rsidR="00F00B6E" w:rsidRPr="00E210E7">
        <w:t xml:space="preserve"> informal teaching and</w:t>
      </w:r>
      <w:r w:rsidR="00267C36" w:rsidRPr="00E210E7">
        <w:t xml:space="preserve"> free food by charitable ‘ragged schools’.</w:t>
      </w:r>
      <w:r w:rsidR="00267C36" w:rsidRPr="00E210E7">
        <w:rPr>
          <w:vertAlign w:val="superscript"/>
        </w:rPr>
        <w:footnoteReference w:id="19"/>
      </w:r>
      <w:r w:rsidR="00267C36" w:rsidRPr="00E210E7">
        <w:t xml:space="preserve"> </w:t>
      </w:r>
      <w:r w:rsidR="00877615" w:rsidRPr="00E210E7">
        <w:t>Nonetheless</w:t>
      </w:r>
      <w:r w:rsidR="00674FCC" w:rsidRPr="00E210E7">
        <w:t>, lower</w:t>
      </w:r>
      <w:r w:rsidR="00FE0FB1">
        <w:t xml:space="preserve"> </w:t>
      </w:r>
      <w:r w:rsidR="00674FCC" w:rsidRPr="00E210E7">
        <w:t xml:space="preserve">and working-class children were less likely to receive a comprehensive education than their middle and </w:t>
      </w:r>
      <w:r w:rsidR="00326FC0">
        <w:t>upper-class</w:t>
      </w:r>
      <w:r w:rsidR="00674FCC" w:rsidRPr="00E210E7">
        <w:t xml:space="preserve"> counterparts.</w:t>
      </w:r>
      <w:r w:rsidR="00674FCC" w:rsidRPr="00E210E7">
        <w:rPr>
          <w:vertAlign w:val="superscript"/>
        </w:rPr>
        <w:footnoteReference w:id="20"/>
      </w:r>
      <w:r w:rsidR="00674FCC" w:rsidRPr="00E210E7">
        <w:t xml:space="preserve"> </w:t>
      </w:r>
      <w:r w:rsidR="00A47011" w:rsidRPr="00E210E7">
        <w:t>Consequently,</w:t>
      </w:r>
      <w:r w:rsidR="00686D30" w:rsidRPr="00E210E7">
        <w:t xml:space="preserve"> middle and upper-class Victorian children were</w:t>
      </w:r>
      <w:r w:rsidR="00A457AA" w:rsidRPr="00E210E7">
        <w:t xml:space="preserve"> more</w:t>
      </w:r>
      <w:r w:rsidR="00686D30" w:rsidRPr="00E210E7">
        <w:t xml:space="preserve"> likely to consume imperial commentary through their education</w:t>
      </w:r>
      <w:r w:rsidR="00437D83" w:rsidRPr="00E210E7">
        <w:t xml:space="preserve"> </w:t>
      </w:r>
      <w:r w:rsidR="00686D30" w:rsidRPr="00E210E7">
        <w:t xml:space="preserve">and the knowledge that teachers and textbooks imparted. This theory is supported by the </w:t>
      </w:r>
      <w:r w:rsidR="00437D83" w:rsidRPr="00E210E7">
        <w:t xml:space="preserve">increasing </w:t>
      </w:r>
      <w:r w:rsidR="00686D30" w:rsidRPr="00E210E7">
        <w:t>number of books produced and intended for ‘middling school children’ between 1837 and 1901.</w:t>
      </w:r>
      <w:r w:rsidR="00686D30" w:rsidRPr="00E210E7">
        <w:rPr>
          <w:vertAlign w:val="superscript"/>
        </w:rPr>
        <w:footnoteReference w:id="21"/>
      </w:r>
      <w:r w:rsidR="00686D30" w:rsidRPr="00E210E7">
        <w:t xml:space="preserve"> These textbooks were ‘a supply in some sort to teachers’ demands’, and provide evidence that discussion around </w:t>
      </w:r>
      <w:r w:rsidR="001E4262">
        <w:t>Empire</w:t>
      </w:r>
      <w:r w:rsidR="00686D30" w:rsidRPr="00E210E7">
        <w:t xml:space="preserve"> was indeed a part of the middle- and upper-class curriculum.</w:t>
      </w:r>
      <w:r w:rsidR="00437D83" w:rsidRPr="00E210E7">
        <w:rPr>
          <w:vertAlign w:val="superscript"/>
        </w:rPr>
        <w:footnoteReference w:id="22"/>
      </w:r>
      <w:r w:rsidR="00437D83" w:rsidRPr="00E210E7">
        <w:t xml:space="preserve"> </w:t>
      </w:r>
      <w:r w:rsidR="00686D30" w:rsidRPr="00E210E7">
        <w:t xml:space="preserve"> Historian Bernard Porter</w:t>
      </w:r>
      <w:r w:rsidR="00C375A6" w:rsidRPr="00E210E7">
        <w:t xml:space="preserve"> has f</w:t>
      </w:r>
      <w:r w:rsidR="00686D30" w:rsidRPr="00E210E7">
        <w:t>ound that textbooks successfully analysed for imperial messages were found to have been seldom used in working-class schools</w:t>
      </w:r>
      <w:r w:rsidR="00C375A6" w:rsidRPr="00E210E7">
        <w:t>,</w:t>
      </w:r>
      <w:r w:rsidR="00686D30" w:rsidRPr="00E210E7">
        <w:t xml:space="preserve"> and enhances the argument that discourses of </w:t>
      </w:r>
      <w:r w:rsidR="001E4262">
        <w:t>Empire</w:t>
      </w:r>
      <w:r w:rsidR="00686D30" w:rsidRPr="00E210E7">
        <w:t xml:space="preserve"> were most likely to shape the childhoods of middle- and upper-class children.</w:t>
      </w:r>
      <w:r w:rsidR="00C375A6" w:rsidRPr="00E210E7">
        <w:rPr>
          <w:vertAlign w:val="superscript"/>
        </w:rPr>
        <w:t xml:space="preserve"> </w:t>
      </w:r>
      <w:r w:rsidR="00C375A6" w:rsidRPr="00E210E7">
        <w:rPr>
          <w:vertAlign w:val="superscript"/>
        </w:rPr>
        <w:footnoteReference w:id="23"/>
      </w:r>
      <w:r w:rsidR="00A457AA" w:rsidRPr="00E210E7">
        <w:t xml:space="preserve"> </w:t>
      </w:r>
    </w:p>
    <w:p w14:paraId="6F5E4536" w14:textId="4B8E44BE" w:rsidR="00EF70C2" w:rsidRPr="00E210E7" w:rsidRDefault="00D74BC5" w:rsidP="0038127D">
      <w:pPr>
        <w:spacing w:line="360" w:lineRule="auto"/>
      </w:pPr>
      <w:r w:rsidRPr="00E210E7">
        <w:lastRenderedPageBreak/>
        <w:t>An analysis of the extent to</w:t>
      </w:r>
      <w:r w:rsidR="0076109D" w:rsidRPr="00E210E7">
        <w:t xml:space="preserve"> which</w:t>
      </w:r>
      <w:r w:rsidRPr="00E210E7">
        <w:t xml:space="preserve"> </w:t>
      </w:r>
      <w:r w:rsidR="0076109D" w:rsidRPr="00E210E7">
        <w:t>i</w:t>
      </w:r>
      <w:r w:rsidR="004636F9" w:rsidRPr="00E210E7">
        <w:t>mperialism perm</w:t>
      </w:r>
      <w:r w:rsidR="0076109D" w:rsidRPr="00E210E7">
        <w:t>eated</w:t>
      </w:r>
      <w:r w:rsidRPr="00E210E7">
        <w:t xml:space="preserve"> Victorian childhood </w:t>
      </w:r>
      <w:proofErr w:type="gramStart"/>
      <w:r w:rsidR="0076109D" w:rsidRPr="00E210E7">
        <w:t>on the basis of</w:t>
      </w:r>
      <w:proofErr w:type="gramEnd"/>
      <w:r w:rsidRPr="00E210E7">
        <w:t xml:space="preserve"> class reveals additional implications of </w:t>
      </w:r>
      <w:r w:rsidR="0076109D" w:rsidRPr="00E210E7">
        <w:t>gender</w:t>
      </w:r>
      <w:r w:rsidR="00620EF4" w:rsidRPr="00E210E7">
        <w:t>.</w:t>
      </w:r>
      <w:r w:rsidRPr="00E210E7">
        <w:t xml:space="preserve"> Notably, though middle-class girls were more likely to participate in education than working-class or destitute girls, either formally or charitably,</w:t>
      </w:r>
      <w:r w:rsidR="000C67A2" w:rsidRPr="00E210E7">
        <w:t xml:space="preserve"> </w:t>
      </w:r>
      <w:r w:rsidRPr="00E210E7">
        <w:t>the perception that education was unimportant for wom</w:t>
      </w:r>
      <w:r w:rsidR="002114AF">
        <w:t>e</w:t>
      </w:r>
      <w:r w:rsidRPr="00E210E7">
        <w:t>n continued to obstruct female access to education even in the upper-classes.</w:t>
      </w:r>
      <w:r w:rsidRPr="00E210E7">
        <w:rPr>
          <w:vertAlign w:val="superscript"/>
        </w:rPr>
        <w:footnoteReference w:id="24"/>
      </w:r>
      <w:r w:rsidRPr="00E210E7">
        <w:t xml:space="preserve"> This </w:t>
      </w:r>
      <w:r w:rsidR="00620EF4" w:rsidRPr="00E210E7">
        <w:t>is</w:t>
      </w:r>
      <w:r w:rsidRPr="00E210E7">
        <w:t xml:space="preserve"> illustrated by the access to education by middle-class girls through informal organisations </w:t>
      </w:r>
      <w:r w:rsidR="00694237">
        <w:t xml:space="preserve">such as Sunday schools </w:t>
      </w:r>
      <w:r w:rsidRPr="00E210E7">
        <w:t>that preserved their marriageability, and not through the formal, fee paying school’s their male counterparts had access to.</w:t>
      </w:r>
      <w:r w:rsidRPr="00E210E7">
        <w:rPr>
          <w:vertAlign w:val="superscript"/>
        </w:rPr>
        <w:footnoteReference w:id="25"/>
      </w:r>
      <w:r w:rsidR="002A001C" w:rsidRPr="00E210E7">
        <w:t xml:space="preserve"> </w:t>
      </w:r>
      <w:r w:rsidR="00807959" w:rsidRPr="00E210E7">
        <w:t>Girls</w:t>
      </w:r>
      <w:r w:rsidR="00694237">
        <w:t xml:space="preserve">’ </w:t>
      </w:r>
      <w:r w:rsidR="00807959" w:rsidRPr="00E210E7">
        <w:t xml:space="preserve">reduced access to education, especially amongst </w:t>
      </w:r>
      <w:r w:rsidR="00326FC0">
        <w:t>working-class</w:t>
      </w:r>
      <w:r w:rsidR="00807959" w:rsidRPr="00E210E7">
        <w:t xml:space="preserve">es, </w:t>
      </w:r>
      <w:r w:rsidR="00860E59" w:rsidRPr="00E210E7">
        <w:t xml:space="preserve">likely reduced their exposure to discourses of </w:t>
      </w:r>
      <w:r w:rsidR="001E4262">
        <w:t>Empire</w:t>
      </w:r>
      <w:r w:rsidR="00860E59" w:rsidRPr="00E210E7">
        <w:t xml:space="preserve"> they might otherwise have gained through academia.</w:t>
      </w:r>
      <w:r w:rsidR="00617E8A" w:rsidRPr="00E210E7">
        <w:t xml:space="preserve"> This illustrates the way in which gender and class interconnect to influence </w:t>
      </w:r>
      <w:r w:rsidR="009B1155" w:rsidRPr="00E210E7">
        <w:t xml:space="preserve">children’s exposure to discourses of </w:t>
      </w:r>
      <w:r w:rsidR="001E4262">
        <w:t>Empire</w:t>
      </w:r>
      <w:r w:rsidR="009B1155" w:rsidRPr="00E210E7">
        <w:t xml:space="preserve"> before the 1870 Education Act.</w:t>
      </w:r>
    </w:p>
    <w:p w14:paraId="7111EF69" w14:textId="1CDE2BE9" w:rsidR="00034AFA" w:rsidRPr="00E210E7" w:rsidRDefault="00803DE9" w:rsidP="0038127D">
      <w:pPr>
        <w:spacing w:line="360" w:lineRule="auto"/>
        <w:rPr>
          <w:b/>
          <w:bCs/>
        </w:rPr>
      </w:pPr>
      <w:r w:rsidRPr="00E210E7">
        <w:rPr>
          <w:b/>
          <w:bCs/>
        </w:rPr>
        <w:t xml:space="preserve">Imperialism in non-educational institutions </w:t>
      </w:r>
    </w:p>
    <w:p w14:paraId="65469C39" w14:textId="0E7D3F4D" w:rsidR="006A0326" w:rsidRPr="00E210E7" w:rsidRDefault="00FD7C27" w:rsidP="0038127D">
      <w:pPr>
        <w:spacing w:line="360" w:lineRule="auto"/>
      </w:pPr>
      <w:r w:rsidRPr="00E210E7">
        <w:t xml:space="preserve">While it has been </w:t>
      </w:r>
      <w:r w:rsidR="00EF70C2" w:rsidRPr="00E210E7">
        <w:t>illustrated</w:t>
      </w:r>
      <w:r w:rsidRPr="00E210E7">
        <w:t xml:space="preserve"> that</w:t>
      </w:r>
      <w:r w:rsidR="00D41B00" w:rsidRPr="00E210E7">
        <w:t xml:space="preserve"> Victorian</w:t>
      </w:r>
      <w:r w:rsidRPr="00E210E7">
        <w:t xml:space="preserve"> children’s</w:t>
      </w:r>
      <w:r w:rsidR="00BB3964">
        <w:t xml:space="preserve">, particularly girls’, </w:t>
      </w:r>
      <w:r w:rsidR="00D41B00" w:rsidRPr="00E210E7">
        <w:t>absence</w:t>
      </w:r>
      <w:r w:rsidRPr="00E210E7">
        <w:t xml:space="preserve"> from comprehensive education subsequently </w:t>
      </w:r>
      <w:r w:rsidR="00D41B00" w:rsidRPr="00E210E7">
        <w:t xml:space="preserve">reduced their exposure to discourses of </w:t>
      </w:r>
      <w:r w:rsidR="001E4262">
        <w:t>Empire</w:t>
      </w:r>
      <w:r w:rsidR="00D41B00" w:rsidRPr="00E210E7">
        <w:t>, this is not</w:t>
      </w:r>
      <w:r w:rsidR="00A41F4B" w:rsidRPr="00E210E7">
        <w:t xml:space="preserve"> </w:t>
      </w:r>
      <w:r w:rsidR="00CA59DC" w:rsidRPr="00E210E7">
        <w:t>consistently</w:t>
      </w:r>
      <w:r w:rsidR="00C52FB0" w:rsidRPr="00E210E7">
        <w:t xml:space="preserve"> the case</w:t>
      </w:r>
      <w:r w:rsidR="00222D4F" w:rsidRPr="00E210E7">
        <w:t xml:space="preserve">. </w:t>
      </w:r>
      <w:r w:rsidR="00684D67" w:rsidRPr="00E210E7">
        <w:t xml:space="preserve">Michael Childs explains </w:t>
      </w:r>
      <w:r w:rsidR="00CA59DC" w:rsidRPr="00E210E7">
        <w:t>that</w:t>
      </w:r>
      <w:r w:rsidR="00BD07F8">
        <w:t xml:space="preserve"> in Britain’s industrial age,</w:t>
      </w:r>
      <w:r w:rsidR="00222D4F" w:rsidRPr="00E210E7">
        <w:t xml:space="preserve"> ‘</w:t>
      </w:r>
      <w:r w:rsidR="00684D67" w:rsidRPr="00E210E7">
        <w:t>i</w:t>
      </w:r>
      <w:r w:rsidR="00222D4F" w:rsidRPr="00E210E7">
        <w:t>llness, death, accident, slackening of trade or a strike could plunge a family from relative comfort into a hand-to-mouth existence’.</w:t>
      </w:r>
      <w:r w:rsidR="00222D4F" w:rsidRPr="00E210E7">
        <w:rPr>
          <w:vertAlign w:val="superscript"/>
        </w:rPr>
        <w:footnoteReference w:id="26"/>
      </w:r>
      <w:r w:rsidR="00222D4F" w:rsidRPr="00E210E7">
        <w:t xml:space="preserve"> This precarity required </w:t>
      </w:r>
      <w:r w:rsidR="003A20E8" w:rsidRPr="00E210E7">
        <w:t xml:space="preserve">the </w:t>
      </w:r>
      <w:r w:rsidR="00222D4F" w:rsidRPr="00E210E7">
        <w:t xml:space="preserve">children of </w:t>
      </w:r>
      <w:r w:rsidR="003A20E8" w:rsidRPr="00E210E7">
        <w:t xml:space="preserve">some </w:t>
      </w:r>
      <w:r w:rsidR="00222D4F" w:rsidRPr="00E210E7">
        <w:t>working-class families to contribute to the household economy</w:t>
      </w:r>
      <w:r w:rsidR="00ED26C2" w:rsidRPr="00E210E7">
        <w:t xml:space="preserve"> through waged labour</w:t>
      </w:r>
      <w:r w:rsidR="00222D4F" w:rsidRPr="00E210E7">
        <w:t xml:space="preserve">. </w:t>
      </w:r>
      <w:r w:rsidR="005E5590" w:rsidRPr="00E210E7">
        <w:t xml:space="preserve">While the staple industries of textiles and iron continued to dominate the composition of </w:t>
      </w:r>
      <w:r w:rsidR="00D91E7A" w:rsidRPr="00E210E7">
        <w:t>British exports</w:t>
      </w:r>
      <w:r w:rsidR="005E5590" w:rsidRPr="00E210E7">
        <w:t xml:space="preserve"> through</w:t>
      </w:r>
      <w:r w:rsidR="00BB3964">
        <w:t>out</w:t>
      </w:r>
      <w:r w:rsidR="005E5590" w:rsidRPr="00E210E7">
        <w:t xml:space="preserve"> the late-Victorian era</w:t>
      </w:r>
      <w:r w:rsidR="00B42B34" w:rsidRPr="00E210E7">
        <w:t xml:space="preserve">, children </w:t>
      </w:r>
      <w:r w:rsidR="001632C4" w:rsidRPr="00E210E7">
        <w:t xml:space="preserve">contributed to </w:t>
      </w:r>
      <w:r w:rsidR="00A34EE5" w:rsidRPr="00E210E7">
        <w:t>econom</w:t>
      </w:r>
      <w:r w:rsidR="00D91E7A" w:rsidRPr="00E210E7">
        <w:t>ic</w:t>
      </w:r>
      <w:r w:rsidR="00D6658B" w:rsidRPr="00E210E7">
        <w:t xml:space="preserve"> </w:t>
      </w:r>
      <w:r w:rsidR="008C039E" w:rsidRPr="00E210E7">
        <w:t>augmentation</w:t>
      </w:r>
      <w:r w:rsidR="00A34EE5" w:rsidRPr="00E210E7">
        <w:t>,</w:t>
      </w:r>
      <w:r w:rsidR="001632C4" w:rsidRPr="00E210E7">
        <w:t xml:space="preserve"> </w:t>
      </w:r>
      <w:r w:rsidR="00A34EE5" w:rsidRPr="00E210E7">
        <w:t>accessing</w:t>
      </w:r>
      <w:r w:rsidR="00B42B34" w:rsidRPr="00E210E7">
        <w:t xml:space="preserve"> wages </w:t>
      </w:r>
      <w:r w:rsidR="00222D4F" w:rsidRPr="00E210E7">
        <w:t xml:space="preserve">in textile factories, mills, </w:t>
      </w:r>
      <w:r w:rsidR="00D6658B" w:rsidRPr="00E210E7">
        <w:t xml:space="preserve">and </w:t>
      </w:r>
      <w:r w:rsidR="00222D4F" w:rsidRPr="00E210E7">
        <w:t>mines</w:t>
      </w:r>
      <w:r w:rsidR="00D6658B" w:rsidRPr="00E210E7">
        <w:t>.</w:t>
      </w:r>
      <w:r w:rsidR="00222D4F" w:rsidRPr="00E210E7">
        <w:rPr>
          <w:vertAlign w:val="superscript"/>
        </w:rPr>
        <w:footnoteReference w:id="27"/>
      </w:r>
      <w:r w:rsidR="00222D4F" w:rsidRPr="00E210E7">
        <w:t xml:space="preserve"> </w:t>
      </w:r>
      <w:r w:rsidR="00877E84" w:rsidRPr="00E210E7">
        <w:t>Arguably</w:t>
      </w:r>
      <w:r w:rsidR="00A135D5" w:rsidRPr="00E210E7">
        <w:t>, children and families employed in</w:t>
      </w:r>
      <w:r w:rsidR="007A0B69" w:rsidRPr="00E210E7">
        <w:t xml:space="preserve"> exportation industries such as </w:t>
      </w:r>
      <w:r w:rsidR="00BE4979" w:rsidRPr="00E210E7">
        <w:t>cotton textile</w:t>
      </w:r>
      <w:r w:rsidR="007A0B69" w:rsidRPr="00E210E7">
        <w:t>s and coal</w:t>
      </w:r>
      <w:r w:rsidR="00BE4979" w:rsidRPr="00E210E7">
        <w:t xml:space="preserve"> would have been aware of the British </w:t>
      </w:r>
      <w:r w:rsidR="001E4262">
        <w:t>Empire</w:t>
      </w:r>
      <w:r w:rsidR="00E40305" w:rsidRPr="00E210E7">
        <w:t xml:space="preserve">, namely </w:t>
      </w:r>
      <w:r w:rsidR="00D37D29" w:rsidRPr="00E210E7">
        <w:t>their role in transforming raw imported cotton and the subsequent exportation of cloth.</w:t>
      </w:r>
      <w:r w:rsidR="00877E84" w:rsidRPr="00E210E7">
        <w:rPr>
          <w:rStyle w:val="FootnoteReference"/>
        </w:rPr>
        <w:footnoteReference w:id="28"/>
      </w:r>
      <w:r w:rsidR="0058614C" w:rsidRPr="00E210E7">
        <w:t xml:space="preserve"> For this reason, </w:t>
      </w:r>
      <w:r w:rsidR="00210796" w:rsidRPr="00E210E7">
        <w:t>it could be suggested that</w:t>
      </w:r>
      <w:r w:rsidR="0058614C" w:rsidRPr="00E210E7">
        <w:t xml:space="preserve"> </w:t>
      </w:r>
      <w:r w:rsidR="00326FC0">
        <w:t>working-class</w:t>
      </w:r>
      <w:r w:rsidR="0058614C" w:rsidRPr="00E210E7">
        <w:t xml:space="preserve"> children </w:t>
      </w:r>
      <w:r w:rsidR="005A4552" w:rsidRPr="00E210E7">
        <w:t xml:space="preserve">removed from education were exposed to discourses of </w:t>
      </w:r>
      <w:r w:rsidR="001E4262">
        <w:t>Empire</w:t>
      </w:r>
      <w:r w:rsidR="005A4552" w:rsidRPr="00E210E7">
        <w:t xml:space="preserve"> </w:t>
      </w:r>
      <w:r w:rsidR="00090488" w:rsidRPr="00E210E7">
        <w:t>as cogs in the wheel of an expanding and industrialising</w:t>
      </w:r>
      <w:r w:rsidR="00F82545" w:rsidRPr="00E210E7">
        <w:t xml:space="preserve"> British</w:t>
      </w:r>
      <w:r w:rsidR="00090488" w:rsidRPr="00E210E7">
        <w:t xml:space="preserve"> </w:t>
      </w:r>
      <w:r w:rsidR="001E4262">
        <w:t>Empire</w:t>
      </w:r>
      <w:r w:rsidR="00090488" w:rsidRPr="00E210E7">
        <w:t>.</w:t>
      </w:r>
      <w:r w:rsidR="001B18A5" w:rsidRPr="00E210E7">
        <w:t xml:space="preserve"> </w:t>
      </w:r>
    </w:p>
    <w:p w14:paraId="6251A248" w14:textId="7E096589" w:rsidR="00241988" w:rsidRPr="00E210E7" w:rsidRDefault="001B18A5" w:rsidP="0038127D">
      <w:pPr>
        <w:spacing w:line="360" w:lineRule="auto"/>
      </w:pPr>
      <w:r w:rsidRPr="00E210E7">
        <w:t>Notably</w:t>
      </w:r>
      <w:r w:rsidR="009479D7" w:rsidRPr="00E210E7">
        <w:t xml:space="preserve">, </w:t>
      </w:r>
      <w:r w:rsidR="004740ED" w:rsidRPr="00E210E7">
        <w:t xml:space="preserve">Victorian boys were more likely to </w:t>
      </w:r>
      <w:r w:rsidR="009A146D" w:rsidRPr="00E210E7">
        <w:t xml:space="preserve">access </w:t>
      </w:r>
      <w:r w:rsidR="00480EEF" w:rsidRPr="00E210E7">
        <w:t xml:space="preserve">manual and waged labour </w:t>
      </w:r>
      <w:proofErr w:type="gramStart"/>
      <w:r w:rsidR="00480EEF" w:rsidRPr="00E210E7">
        <w:t>in order to</w:t>
      </w:r>
      <w:proofErr w:type="gramEnd"/>
      <w:r w:rsidR="00480EEF" w:rsidRPr="00E210E7">
        <w:t xml:space="preserve"> </w:t>
      </w:r>
      <w:r w:rsidR="004740ED" w:rsidRPr="00E210E7">
        <w:t xml:space="preserve">stimulate their family economy than female </w:t>
      </w:r>
      <w:r w:rsidR="00BD07F8">
        <w:t>children</w:t>
      </w:r>
      <w:r w:rsidR="00480EEF" w:rsidRPr="00E210E7">
        <w:t xml:space="preserve">. </w:t>
      </w:r>
      <w:r w:rsidR="009667B8" w:rsidRPr="00E210E7">
        <w:t>In families unable to afford</w:t>
      </w:r>
      <w:r w:rsidR="00543778" w:rsidRPr="00E210E7">
        <w:t xml:space="preserve"> their</w:t>
      </w:r>
      <w:r w:rsidR="009667B8" w:rsidRPr="00E210E7">
        <w:t xml:space="preserve"> education, girls </w:t>
      </w:r>
      <w:r w:rsidR="00047358" w:rsidRPr="00E210E7">
        <w:t xml:space="preserve">would </w:t>
      </w:r>
      <w:r w:rsidR="002E5934" w:rsidRPr="00E210E7">
        <w:lastRenderedPageBreak/>
        <w:t xml:space="preserve">likely </w:t>
      </w:r>
      <w:r w:rsidR="00047358" w:rsidRPr="00E210E7">
        <w:t>have been expected to correct a domestic imbalance caused by the return of adults in the household to the labour market.</w:t>
      </w:r>
      <w:r w:rsidR="00047358" w:rsidRPr="00E210E7">
        <w:rPr>
          <w:vertAlign w:val="superscript"/>
        </w:rPr>
        <w:footnoteReference w:id="29"/>
      </w:r>
      <w:r w:rsidR="002E5934" w:rsidRPr="00E210E7">
        <w:t xml:space="preserve"> </w:t>
      </w:r>
      <w:r w:rsidR="00163876" w:rsidRPr="00E210E7">
        <w:t xml:space="preserve">Consequently, </w:t>
      </w:r>
      <w:r w:rsidR="009A2BBA" w:rsidRPr="00E210E7">
        <w:t xml:space="preserve">one might argue that </w:t>
      </w:r>
      <w:r w:rsidR="002B7239" w:rsidRPr="00E210E7">
        <w:t xml:space="preserve">in Victorian Britain, boys could expect to be exposed to discourse of </w:t>
      </w:r>
      <w:r w:rsidR="001E4262">
        <w:t>Empire</w:t>
      </w:r>
      <w:r w:rsidR="002B7239" w:rsidRPr="00E210E7">
        <w:t xml:space="preserve"> to </w:t>
      </w:r>
      <w:r w:rsidR="00942FCE" w:rsidRPr="00E210E7">
        <w:t>a great</w:t>
      </w:r>
      <w:r w:rsidR="00A901FC">
        <w:t>er</w:t>
      </w:r>
      <w:r w:rsidR="00942FCE" w:rsidRPr="00E210E7">
        <w:t xml:space="preserve"> extent than girls. When excluded from education, imperialism permeated </w:t>
      </w:r>
      <w:r w:rsidR="00437300" w:rsidRPr="00E210E7">
        <w:t xml:space="preserve">Victorian boy’s childhood through industrial labour linked to the British </w:t>
      </w:r>
      <w:r w:rsidR="001E4262">
        <w:t>Empire</w:t>
      </w:r>
      <w:r w:rsidR="00437300" w:rsidRPr="00E210E7">
        <w:t>, while girls excluded from education could expect to remain within the domestic sphere</w:t>
      </w:r>
      <w:r w:rsidR="004317C0" w:rsidRPr="00E210E7">
        <w:t xml:space="preserve"> performing caring roles, comparatively unexposed to </w:t>
      </w:r>
      <w:r w:rsidR="00A60205">
        <w:t>imperialistic ideals</w:t>
      </w:r>
      <w:r w:rsidR="004317C0" w:rsidRPr="00E210E7">
        <w:t>.</w:t>
      </w:r>
      <w:r w:rsidR="00241988" w:rsidRPr="00E210E7">
        <w:t xml:space="preserve"> Importantly, historians such as Humphries have highlighted declining rates of child labour over the nineteenth century, attributing this to</w:t>
      </w:r>
      <w:r w:rsidR="00AD6D00" w:rsidRPr="00E210E7">
        <w:t xml:space="preserve"> improved technology as well as the implementation of legislation such as the Factory Acts and the 1870 Education Act</w:t>
      </w:r>
      <w:r w:rsidR="0010292F" w:rsidRPr="00E210E7">
        <w:t xml:space="preserve"> which</w:t>
      </w:r>
      <w:r w:rsidR="006901C6" w:rsidRPr="00E210E7">
        <w:t xml:space="preserve"> </w:t>
      </w:r>
      <w:r w:rsidR="0010292F" w:rsidRPr="00E210E7">
        <w:t>gradually reduced</w:t>
      </w:r>
      <w:r w:rsidR="0045221F" w:rsidRPr="00E210E7">
        <w:t xml:space="preserve"> child employment and increas</w:t>
      </w:r>
      <w:r w:rsidR="0010292F" w:rsidRPr="00E210E7">
        <w:t>ed</w:t>
      </w:r>
      <w:r w:rsidR="0045221F" w:rsidRPr="00E210E7">
        <w:t xml:space="preserve"> their access to formal education.</w:t>
      </w:r>
      <w:r w:rsidR="008D7579" w:rsidRPr="00E210E7">
        <w:rPr>
          <w:rStyle w:val="FootnoteReference"/>
        </w:rPr>
        <w:footnoteReference w:id="30"/>
      </w:r>
      <w:r w:rsidR="00AD6D00" w:rsidRPr="00E210E7">
        <w:t xml:space="preserve"> </w:t>
      </w:r>
      <w:r w:rsidR="00A42D2F" w:rsidRPr="00E210E7">
        <w:t>As the 1870 Act became fully implemented</w:t>
      </w:r>
      <w:r w:rsidR="00A60205">
        <w:t>,</w:t>
      </w:r>
      <w:r w:rsidR="00195079" w:rsidRPr="00E210E7">
        <w:t xml:space="preserve"> </w:t>
      </w:r>
      <w:r w:rsidR="004515B5" w:rsidRPr="00E210E7">
        <w:t>and especially by 1880</w:t>
      </w:r>
      <w:r w:rsidR="008B6AC0" w:rsidRPr="00E210E7">
        <w:t xml:space="preserve"> when education had become universally compulsory, attendance at school had removed children from work environments that might have exposed them to discourses of </w:t>
      </w:r>
      <w:r w:rsidR="001E4262">
        <w:t>Empire</w:t>
      </w:r>
      <w:r w:rsidR="008B6AC0" w:rsidRPr="00E210E7">
        <w:t>.</w:t>
      </w:r>
      <w:r w:rsidR="008B6AC0" w:rsidRPr="00E210E7">
        <w:rPr>
          <w:rStyle w:val="FootnoteReference"/>
        </w:rPr>
        <w:footnoteReference w:id="31"/>
      </w:r>
      <w:r w:rsidR="00032700" w:rsidRPr="00E210E7">
        <w:t xml:space="preserve"> </w:t>
      </w:r>
      <w:r w:rsidR="004E6BEE" w:rsidRPr="00E210E7">
        <w:t xml:space="preserve">Thus, </w:t>
      </w:r>
      <w:r w:rsidR="00343093" w:rsidRPr="00E210E7">
        <w:t xml:space="preserve">a decline in child labour even before but especially after the 1870 </w:t>
      </w:r>
      <w:r w:rsidR="00A60205">
        <w:t>E</w:t>
      </w:r>
      <w:r w:rsidR="00343093" w:rsidRPr="00E210E7">
        <w:t xml:space="preserve">ducation </w:t>
      </w:r>
      <w:r w:rsidR="00A60205">
        <w:t>A</w:t>
      </w:r>
      <w:r w:rsidR="00343093" w:rsidRPr="00E210E7">
        <w:t xml:space="preserve">ct might suggest that </w:t>
      </w:r>
      <w:r w:rsidR="009D331E" w:rsidRPr="00E210E7">
        <w:t xml:space="preserve">discourses of </w:t>
      </w:r>
      <w:r w:rsidR="001E4262">
        <w:t>Empire</w:t>
      </w:r>
      <w:r w:rsidR="009D331E" w:rsidRPr="00E210E7">
        <w:t xml:space="preserve"> permeated Victorian childhood to a limited extent.</w:t>
      </w:r>
    </w:p>
    <w:p w14:paraId="4F9A8041" w14:textId="19132FC0" w:rsidR="00683CF1" w:rsidRPr="00E210E7" w:rsidRDefault="008F2BDE" w:rsidP="0038127D">
      <w:pPr>
        <w:spacing w:line="360" w:lineRule="auto"/>
        <w:rPr>
          <w:b/>
          <w:bCs/>
        </w:rPr>
      </w:pPr>
      <w:r w:rsidRPr="00E210E7">
        <w:rPr>
          <w:b/>
          <w:bCs/>
        </w:rPr>
        <w:t>Imperialism in Education after the 1870 Education Act</w:t>
      </w:r>
    </w:p>
    <w:p w14:paraId="03F1C79E" w14:textId="1DFF028B" w:rsidR="00183D48" w:rsidRPr="00E210E7" w:rsidRDefault="005B44FD" w:rsidP="0038127D">
      <w:pPr>
        <w:spacing w:line="360" w:lineRule="auto"/>
      </w:pPr>
      <w:r w:rsidRPr="00E210E7">
        <w:t xml:space="preserve">Though Bernard Porter has highlighted </w:t>
      </w:r>
      <w:r w:rsidR="003C1932" w:rsidRPr="00E210E7">
        <w:t>that textbooks</w:t>
      </w:r>
      <w:r w:rsidRPr="00E210E7">
        <w:t xml:space="preserve"> </w:t>
      </w:r>
      <w:r w:rsidR="000B6780" w:rsidRPr="00E210E7">
        <w:t>containing imperial messages were</w:t>
      </w:r>
      <w:r w:rsidR="00907927" w:rsidRPr="00E210E7">
        <w:t xml:space="preserve"> </w:t>
      </w:r>
      <w:r w:rsidR="000B6780" w:rsidRPr="00E210E7">
        <w:t>utilised</w:t>
      </w:r>
      <w:r w:rsidR="00907927" w:rsidRPr="00E210E7">
        <w:t xml:space="preserve"> to some extent</w:t>
      </w:r>
      <w:r w:rsidR="000B6780" w:rsidRPr="00E210E7">
        <w:t xml:space="preserve"> in middle and </w:t>
      </w:r>
      <w:r w:rsidR="00326FC0">
        <w:t>upper-class</w:t>
      </w:r>
      <w:r w:rsidR="000B6780" w:rsidRPr="00E210E7">
        <w:t xml:space="preserve"> education systems </w:t>
      </w:r>
      <w:r w:rsidR="000861EA" w:rsidRPr="00E210E7">
        <w:t>before the introduction of the 1870 Education Act</w:t>
      </w:r>
      <w:r w:rsidR="00B032D4" w:rsidRPr="00E210E7">
        <w:t xml:space="preserve">, he has gone on to </w:t>
      </w:r>
      <w:r w:rsidR="004563D6" w:rsidRPr="00E210E7">
        <w:t xml:space="preserve">explain that in comparison to other subjects, few textbooks published before the 1880’s awarded </w:t>
      </w:r>
      <w:r w:rsidR="006A6D6D" w:rsidRPr="00E210E7">
        <w:t xml:space="preserve">a significant amount of attention to </w:t>
      </w:r>
      <w:r w:rsidR="001E4262">
        <w:t>Empire</w:t>
      </w:r>
      <w:r w:rsidR="006A6D6D" w:rsidRPr="00E210E7">
        <w:t>.</w:t>
      </w:r>
      <w:r w:rsidR="007E5EA8" w:rsidRPr="00E210E7">
        <w:rPr>
          <w:vertAlign w:val="superscript"/>
        </w:rPr>
        <w:t xml:space="preserve"> </w:t>
      </w:r>
      <w:r w:rsidR="007E5EA8" w:rsidRPr="002608E1">
        <w:rPr>
          <w:vertAlign w:val="superscript"/>
        </w:rPr>
        <w:footnoteReference w:id="32"/>
      </w:r>
      <w:r w:rsidR="003C1932" w:rsidRPr="00E210E7">
        <w:t xml:space="preserve"> </w:t>
      </w:r>
      <w:proofErr w:type="spellStart"/>
      <w:r w:rsidR="009B7A93" w:rsidRPr="002608E1">
        <w:t>Dunae</w:t>
      </w:r>
      <w:proofErr w:type="spellEnd"/>
      <w:r w:rsidR="009B7A93" w:rsidRPr="002608E1">
        <w:t xml:space="preserve"> supports this argument, writing that scattered references to </w:t>
      </w:r>
      <w:r w:rsidR="001E4262">
        <w:t>Empire</w:t>
      </w:r>
      <w:r w:rsidR="009B7A93" w:rsidRPr="002608E1">
        <w:t xml:space="preserve"> before and during 1870 publications suggest that ‘imperial sentiment was relatively limited’.</w:t>
      </w:r>
      <w:r w:rsidR="009B7A93" w:rsidRPr="002608E1">
        <w:rPr>
          <w:vertAlign w:val="superscript"/>
        </w:rPr>
        <w:footnoteReference w:id="33"/>
      </w:r>
      <w:r w:rsidR="009B7A93" w:rsidRPr="002608E1">
        <w:t xml:space="preserve"> </w:t>
      </w:r>
      <w:r w:rsidR="002608E1" w:rsidRPr="002608E1">
        <w:t xml:space="preserve">This is indicative of an </w:t>
      </w:r>
      <w:r w:rsidR="00B64982" w:rsidRPr="00E210E7">
        <w:t>absence of imperial discourse throughout Britain until th</w:t>
      </w:r>
      <w:r w:rsidR="006D3FE8" w:rsidRPr="00E210E7">
        <w:t xml:space="preserve">e late nineteenth century, </w:t>
      </w:r>
      <w:r w:rsidR="00FD2FC0" w:rsidRPr="00E210E7">
        <w:t xml:space="preserve">and suggests that </w:t>
      </w:r>
      <w:r w:rsidR="003E012C" w:rsidRPr="00E210E7">
        <w:t>it was not until</w:t>
      </w:r>
      <w:r w:rsidR="0062579F" w:rsidRPr="00E210E7">
        <w:t xml:space="preserve"> after 1870 that the significance of </w:t>
      </w:r>
      <w:r w:rsidR="001E4262">
        <w:t>Empire</w:t>
      </w:r>
      <w:r w:rsidR="0062579F" w:rsidRPr="00E210E7">
        <w:t xml:space="preserve"> began to increase throughout Britain</w:t>
      </w:r>
      <w:r w:rsidR="002608E1" w:rsidRPr="002608E1">
        <w:t xml:space="preserve">. </w:t>
      </w:r>
      <w:r w:rsidR="005E5EF6" w:rsidRPr="00E210E7">
        <w:t xml:space="preserve">Certainly, Amy Llyod </w:t>
      </w:r>
      <w:r w:rsidR="00767D00" w:rsidRPr="00E210E7">
        <w:t xml:space="preserve">emphasizes that </w:t>
      </w:r>
      <w:r w:rsidR="006E534D" w:rsidRPr="00E210E7">
        <w:t>in the 1870s, Britain entered what has been termed the 'Age of Imperialism'</w:t>
      </w:r>
      <w:r w:rsidR="0070330F" w:rsidRPr="00E210E7">
        <w:t>.</w:t>
      </w:r>
      <w:r w:rsidR="00ED4854" w:rsidRPr="00E210E7">
        <w:rPr>
          <w:rStyle w:val="FootnoteReference"/>
        </w:rPr>
        <w:footnoteReference w:id="34"/>
      </w:r>
      <w:r w:rsidR="0070330F" w:rsidRPr="00E210E7">
        <w:t xml:space="preserve"> After Queen Victoria’s ascension to Empress of India</w:t>
      </w:r>
      <w:r w:rsidR="0062579F" w:rsidRPr="00E210E7">
        <w:t xml:space="preserve"> in 1876</w:t>
      </w:r>
      <w:r w:rsidR="0070330F" w:rsidRPr="00E210E7">
        <w:t xml:space="preserve">, ‘Britons </w:t>
      </w:r>
      <w:r w:rsidR="005847F8" w:rsidRPr="00E210E7">
        <w:t>were captivated by the reporting of the Indian Mutiny and the Boer War’</w:t>
      </w:r>
      <w:r w:rsidR="00ED4854" w:rsidRPr="00E210E7">
        <w:t xml:space="preserve">, illustrating the increased permeation of imperial discourse into Victorian </w:t>
      </w:r>
      <w:r w:rsidR="00A60205">
        <w:t>society</w:t>
      </w:r>
      <w:r w:rsidR="00ED4854" w:rsidRPr="00E210E7">
        <w:t xml:space="preserve"> towards the end of the nineteenth</w:t>
      </w:r>
      <w:r w:rsidR="004C7B96">
        <w:t xml:space="preserve"> </w:t>
      </w:r>
      <w:r w:rsidR="00ED4854" w:rsidRPr="00E210E7">
        <w:t>century.</w:t>
      </w:r>
      <w:r w:rsidR="00ED4854" w:rsidRPr="00E210E7">
        <w:rPr>
          <w:rStyle w:val="FootnoteReference"/>
        </w:rPr>
        <w:footnoteReference w:id="35"/>
      </w:r>
    </w:p>
    <w:p w14:paraId="5D9C293D" w14:textId="33561360" w:rsidR="00F82545" w:rsidRPr="00E210E7" w:rsidRDefault="002608E1" w:rsidP="0038127D">
      <w:pPr>
        <w:spacing w:line="360" w:lineRule="auto"/>
      </w:pPr>
      <w:r w:rsidRPr="002608E1">
        <w:lastRenderedPageBreak/>
        <w:t xml:space="preserve">The premise that imperialism </w:t>
      </w:r>
      <w:r w:rsidR="00635A3C" w:rsidRPr="00E210E7">
        <w:t>intensifies</w:t>
      </w:r>
      <w:r w:rsidRPr="002608E1">
        <w:t xml:space="preserve"> </w:t>
      </w:r>
      <w:r w:rsidR="00482DE0" w:rsidRPr="00E210E7">
        <w:t>toward the late nineteenth century</w:t>
      </w:r>
      <w:r w:rsidRPr="002608E1">
        <w:t xml:space="preserve"> aligns with Queen Victoria’s return to the public eye after her private and extended period of mourning. Victoria’s Golden Jubilee in 1887 was a ‘magnificent celebration’ while her Diamond Jubilee in 1897 focussed ‘almost exclusively on a celebration of the British </w:t>
      </w:r>
      <w:r w:rsidR="001E4262">
        <w:t>Empire</w:t>
      </w:r>
      <w:r w:rsidRPr="002608E1">
        <w:t>, and the Queen’s role as its head’.</w:t>
      </w:r>
      <w:r w:rsidRPr="002608E1">
        <w:rPr>
          <w:vertAlign w:val="superscript"/>
        </w:rPr>
        <w:footnoteReference w:id="36"/>
      </w:r>
      <w:r w:rsidRPr="002608E1">
        <w:t xml:space="preserve"> Families of all classes were encouraged to honour Victoria’s personal achievements as Queen, and these occasions ‘helped shape children’s view of the rightness of British rule’.</w:t>
      </w:r>
      <w:r w:rsidRPr="002608E1">
        <w:rPr>
          <w:vertAlign w:val="superscript"/>
        </w:rPr>
        <w:footnoteReference w:id="37"/>
      </w:r>
      <w:r w:rsidRPr="002608E1">
        <w:t xml:space="preserve"> </w:t>
      </w:r>
      <w:r w:rsidR="00705BB3" w:rsidRPr="00E210E7">
        <w:t>Steinbach</w:t>
      </w:r>
      <w:r w:rsidR="0089062E" w:rsidRPr="00E210E7">
        <w:t xml:space="preserve"> </w:t>
      </w:r>
      <w:r w:rsidR="001C3171" w:rsidRPr="00E210E7">
        <w:t xml:space="preserve">and Porter </w:t>
      </w:r>
      <w:r w:rsidR="0089062E" w:rsidRPr="00E210E7">
        <w:t>provide</w:t>
      </w:r>
      <w:r w:rsidR="001C3171" w:rsidRPr="00E210E7">
        <w:t xml:space="preserve"> </w:t>
      </w:r>
      <w:r w:rsidR="00705BB3" w:rsidRPr="002608E1">
        <w:t xml:space="preserve">convincing </w:t>
      </w:r>
      <w:r w:rsidR="0089062E" w:rsidRPr="00E210E7">
        <w:t xml:space="preserve">evidence </w:t>
      </w:r>
      <w:r w:rsidR="00705BB3" w:rsidRPr="002608E1">
        <w:t xml:space="preserve">that information, knowledge and discourses of </w:t>
      </w:r>
      <w:r w:rsidR="001E4262">
        <w:t>Empire</w:t>
      </w:r>
      <w:r w:rsidR="00705BB3" w:rsidRPr="002608E1">
        <w:t xml:space="preserve"> percolated through classes</w:t>
      </w:r>
      <w:r w:rsidR="00705BB3" w:rsidRPr="00E210E7">
        <w:t>, arguing that class mobility was a novel advancement in Victorian Britain.</w:t>
      </w:r>
      <w:r w:rsidR="00705BB3" w:rsidRPr="002608E1">
        <w:rPr>
          <w:vertAlign w:val="superscript"/>
        </w:rPr>
        <w:footnoteReference w:id="38"/>
      </w:r>
      <w:r w:rsidR="00705BB3" w:rsidRPr="002608E1">
        <w:t xml:space="preserve"> </w:t>
      </w:r>
      <w:r w:rsidRPr="002608E1">
        <w:t xml:space="preserve">The participation of children across classes in Queen Victoria’s imperial celebrations suggests that discourses of </w:t>
      </w:r>
      <w:r w:rsidR="001E4262">
        <w:t>Empire</w:t>
      </w:r>
      <w:r w:rsidRPr="002608E1">
        <w:t xml:space="preserve"> </w:t>
      </w:r>
      <w:r w:rsidR="00277F5D" w:rsidRPr="00E210E7">
        <w:t xml:space="preserve">permeated </w:t>
      </w:r>
      <w:r w:rsidR="00670FF7" w:rsidRPr="00E210E7">
        <w:t>Victorian childhood across classes</w:t>
      </w:r>
      <w:r w:rsidR="00AF3368" w:rsidRPr="00E210E7">
        <w:t xml:space="preserve"> after the 1870 Education Act</w:t>
      </w:r>
      <w:r w:rsidR="00670FF7" w:rsidRPr="00E210E7">
        <w:t xml:space="preserve">, not entirely through education but through </w:t>
      </w:r>
      <w:r w:rsidR="00543DE8" w:rsidRPr="00E210E7">
        <w:t xml:space="preserve">national and cultural </w:t>
      </w:r>
      <w:r w:rsidR="00EE4B9F" w:rsidRPr="00E210E7">
        <w:t>engagement</w:t>
      </w:r>
      <w:r w:rsidR="00AF3368" w:rsidRPr="00E210E7">
        <w:t xml:space="preserve"> </w:t>
      </w:r>
      <w:r w:rsidR="00E40E8B" w:rsidRPr="00E210E7">
        <w:t xml:space="preserve">in </w:t>
      </w:r>
      <w:r w:rsidR="001E4262">
        <w:t>Empire</w:t>
      </w:r>
      <w:r w:rsidR="00E40E8B" w:rsidRPr="00E210E7">
        <w:t xml:space="preserve"> </w:t>
      </w:r>
      <w:r w:rsidR="00AF3368" w:rsidRPr="00E210E7">
        <w:t>that gr</w:t>
      </w:r>
      <w:r w:rsidR="00E40E8B" w:rsidRPr="00E210E7">
        <w:t>ew</w:t>
      </w:r>
      <w:r w:rsidR="00AF3368" w:rsidRPr="00E210E7">
        <w:t xml:space="preserve"> towards the end of the nineteenth century.</w:t>
      </w:r>
      <w:r w:rsidR="00EE4B9F" w:rsidRPr="00E210E7">
        <w:t xml:space="preserve"> </w:t>
      </w:r>
    </w:p>
    <w:p w14:paraId="5D227182" w14:textId="02232BD2" w:rsidR="00D0583C" w:rsidRPr="00E210E7" w:rsidRDefault="0005547C" w:rsidP="0038127D">
      <w:pPr>
        <w:spacing w:line="360" w:lineRule="auto"/>
      </w:pPr>
      <w:r w:rsidRPr="00E210E7">
        <w:t xml:space="preserve">By investigating the schooling experience of working-class </w:t>
      </w:r>
      <w:r w:rsidR="00EC6B7B" w:rsidRPr="00E210E7">
        <w:t xml:space="preserve">Victorian </w:t>
      </w:r>
      <w:r w:rsidRPr="00E210E7">
        <w:t xml:space="preserve">children in </w:t>
      </w:r>
      <w:r w:rsidR="00AF6EB3" w:rsidRPr="00E210E7">
        <w:t>English elementary schools</w:t>
      </w:r>
      <w:r w:rsidRPr="00E210E7">
        <w:t xml:space="preserve"> from the late nineteenth century to 1939</w:t>
      </w:r>
      <w:r w:rsidR="00EC6B7B" w:rsidRPr="00E210E7">
        <w:t xml:space="preserve">, Brad </w:t>
      </w:r>
      <w:proofErr w:type="spellStart"/>
      <w:r w:rsidR="00EC6B7B" w:rsidRPr="00E210E7">
        <w:t>Beaven</w:t>
      </w:r>
      <w:proofErr w:type="spellEnd"/>
      <w:r w:rsidR="00EC6B7B" w:rsidRPr="00E210E7">
        <w:t xml:space="preserve"> has </w:t>
      </w:r>
      <w:r w:rsidR="00F8169C" w:rsidRPr="00E210E7">
        <w:t xml:space="preserve">concluded that </w:t>
      </w:r>
      <w:r w:rsidR="0090219A" w:rsidRPr="00E210E7">
        <w:t>school curricula,</w:t>
      </w:r>
      <w:r w:rsidR="004E30D4" w:rsidRPr="00E210E7">
        <w:t xml:space="preserve"> physical exercise and extra-curricular activities </w:t>
      </w:r>
      <w:r w:rsidR="00091730" w:rsidRPr="00E210E7">
        <w:t xml:space="preserve">systematically </w:t>
      </w:r>
      <w:r w:rsidR="004E30D4" w:rsidRPr="00E210E7">
        <w:t>delivered to children after the 187</w:t>
      </w:r>
      <w:r w:rsidR="00B0114F" w:rsidRPr="00E210E7">
        <w:t xml:space="preserve">0 </w:t>
      </w:r>
      <w:r w:rsidR="004E30D4" w:rsidRPr="00E210E7">
        <w:t>Education Act</w:t>
      </w:r>
      <w:r w:rsidR="00B0114F" w:rsidRPr="00E210E7">
        <w:t xml:space="preserve"> ‘were fertile ground for planting the seeds of imperial fervour’.</w:t>
      </w:r>
      <w:r w:rsidR="00B0114F" w:rsidRPr="00E210E7">
        <w:rPr>
          <w:rStyle w:val="FootnoteReference"/>
        </w:rPr>
        <w:footnoteReference w:id="39"/>
      </w:r>
      <w:r w:rsidR="001A36D5" w:rsidRPr="00E210E7">
        <w:t xml:space="preserve"> While agreeing with Porter that until the late 1880’s </w:t>
      </w:r>
      <w:r w:rsidR="005C2EF1" w:rsidRPr="00E210E7">
        <w:t xml:space="preserve">‘board Schools and schools in the voluntary sector appear to have followed curricula relatively free from imperial propaganda’, </w:t>
      </w:r>
      <w:proofErr w:type="spellStart"/>
      <w:r w:rsidR="005C2EF1" w:rsidRPr="00E210E7">
        <w:t>Beaven</w:t>
      </w:r>
      <w:proofErr w:type="spellEnd"/>
      <w:r w:rsidR="005C2EF1" w:rsidRPr="00E210E7">
        <w:t xml:space="preserve"> </w:t>
      </w:r>
      <w:r w:rsidR="00B00B95" w:rsidRPr="00E210E7">
        <w:t xml:space="preserve">suggests that </w:t>
      </w:r>
      <w:r w:rsidR="00990CEF" w:rsidRPr="00E210E7">
        <w:t xml:space="preserve">eventually </w:t>
      </w:r>
      <w:r w:rsidR="00B00B95" w:rsidRPr="00E210E7">
        <w:t>‘</w:t>
      </w:r>
      <w:r w:rsidR="00990CEF" w:rsidRPr="00E210E7">
        <w:t>i</w:t>
      </w:r>
      <w:r w:rsidR="00B00B95" w:rsidRPr="00E210E7">
        <w:t xml:space="preserve">nternational competition and anxieties over the security of the </w:t>
      </w:r>
      <w:r w:rsidR="001E4262">
        <w:t>Empire</w:t>
      </w:r>
      <w:r w:rsidR="00B00B95" w:rsidRPr="00E210E7">
        <w:t xml:space="preserve"> brought the teaching of patriotism</w:t>
      </w:r>
      <w:r w:rsidR="00990CEF" w:rsidRPr="00E210E7">
        <w:t xml:space="preserve"> </w:t>
      </w:r>
      <w:r w:rsidR="00B00B95" w:rsidRPr="00E210E7">
        <w:t>to national attention</w:t>
      </w:r>
      <w:r w:rsidR="002450A5" w:rsidRPr="00E210E7">
        <w:t>’</w:t>
      </w:r>
      <w:r w:rsidR="00B00B95" w:rsidRPr="00E210E7">
        <w:t>.</w:t>
      </w:r>
      <w:r w:rsidR="00F37DC0" w:rsidRPr="00E210E7">
        <w:rPr>
          <w:rStyle w:val="FootnoteReference"/>
        </w:rPr>
        <w:footnoteReference w:id="40"/>
      </w:r>
      <w:r w:rsidR="00B00B95" w:rsidRPr="00E210E7">
        <w:t xml:space="preserve"> </w:t>
      </w:r>
      <w:r w:rsidR="002450A5" w:rsidRPr="00E210E7">
        <w:t xml:space="preserve">He </w:t>
      </w:r>
      <w:r w:rsidR="00A420E5" w:rsidRPr="00E210E7">
        <w:t>goes on to argue that from the late 1880s, the curriculum took on a distinctly imperial edge as military drill and imperial ceremony were introduced</w:t>
      </w:r>
      <w:r w:rsidR="009D5286" w:rsidRPr="00E210E7">
        <w:t xml:space="preserve">, citing songs such as ‘Hail Britannia’ and ‘England’s Queen’ </w:t>
      </w:r>
      <w:r w:rsidR="00667143" w:rsidRPr="00E210E7">
        <w:t>listed among St Michaels Church of England School log book.</w:t>
      </w:r>
      <w:r w:rsidR="00667143" w:rsidRPr="00E210E7">
        <w:rPr>
          <w:rStyle w:val="FootnoteReference"/>
        </w:rPr>
        <w:footnoteReference w:id="41"/>
      </w:r>
      <w:r w:rsidR="006A604A" w:rsidRPr="00E210E7">
        <w:t xml:space="preserve"> Primary evidence such as that cited by </w:t>
      </w:r>
      <w:proofErr w:type="spellStart"/>
      <w:r w:rsidR="006A604A" w:rsidRPr="00E210E7">
        <w:t>Be</w:t>
      </w:r>
      <w:r w:rsidR="00AC28C2" w:rsidRPr="00E210E7">
        <w:t>aven</w:t>
      </w:r>
      <w:proofErr w:type="spellEnd"/>
      <w:r w:rsidR="00AC28C2" w:rsidRPr="00E210E7">
        <w:t xml:space="preserve"> suggests that discourses of </w:t>
      </w:r>
      <w:r w:rsidR="001E4262">
        <w:t>Empire</w:t>
      </w:r>
      <w:r w:rsidR="00AC28C2" w:rsidRPr="00E210E7">
        <w:t xml:space="preserve"> undoubtedly permeated Victorian childhood to a </w:t>
      </w:r>
      <w:r w:rsidR="00D60BDE" w:rsidRPr="00E210E7">
        <w:t xml:space="preserve">considerable extent after the 1870 Education Act. </w:t>
      </w:r>
      <w:r w:rsidR="007055DE" w:rsidRPr="00E210E7">
        <w:t>Notwithstanding, this can be attributed to a</w:t>
      </w:r>
      <w:r w:rsidR="00D21B01" w:rsidRPr="00E210E7">
        <w:t xml:space="preserve"> surge in imperialism towards the end of the nineteenth century</w:t>
      </w:r>
      <w:r w:rsidR="00FC7A2E" w:rsidRPr="00E210E7">
        <w:t xml:space="preserve"> </w:t>
      </w:r>
      <w:proofErr w:type="gramStart"/>
      <w:r w:rsidR="00FC7A2E" w:rsidRPr="00E210E7">
        <w:t>as a result of</w:t>
      </w:r>
      <w:proofErr w:type="gramEnd"/>
      <w:r w:rsidR="00FC7A2E" w:rsidRPr="00E210E7">
        <w:t xml:space="preserve"> external factors,</w:t>
      </w:r>
      <w:r w:rsidR="00D21B01" w:rsidRPr="00E210E7">
        <w:t xml:space="preserve"> </w:t>
      </w:r>
      <w:r w:rsidR="007A0F22" w:rsidRPr="00E210E7">
        <w:t xml:space="preserve">ultimately translated through a </w:t>
      </w:r>
      <w:r w:rsidR="0052310F" w:rsidRPr="00E210E7">
        <w:t>regularising education system</w:t>
      </w:r>
      <w:r w:rsidR="00587B75" w:rsidRPr="00E210E7">
        <w:t>.</w:t>
      </w:r>
    </w:p>
    <w:p w14:paraId="224047D5" w14:textId="54A66AFC" w:rsidR="00907039" w:rsidRDefault="000A15AC" w:rsidP="0038127D">
      <w:pPr>
        <w:spacing w:line="360" w:lineRule="auto"/>
      </w:pPr>
      <w:r w:rsidRPr="00E210E7">
        <w:lastRenderedPageBreak/>
        <w:t xml:space="preserve">Furthermore, </w:t>
      </w:r>
      <w:r w:rsidR="007D4313" w:rsidRPr="00E210E7">
        <w:t>Lloyd has suggested that in the late nineteenth century ‘</w:t>
      </w:r>
      <w:r w:rsidR="001E4262">
        <w:t>Empire</w:t>
      </w:r>
      <w:r w:rsidR="007D4313" w:rsidRPr="00E210E7">
        <w:t xml:space="preserve"> was a prevalent theme in</w:t>
      </w:r>
      <w:r w:rsidRPr="00E210E7">
        <w:t xml:space="preserve"> </w:t>
      </w:r>
      <w:r w:rsidR="007D4313" w:rsidRPr="00E210E7">
        <w:t>popular fiction and children's magazines…</w:t>
      </w:r>
      <w:r w:rsidR="00594D86" w:rsidRPr="00E210E7">
        <w:t xml:space="preserve"> </w:t>
      </w:r>
      <w:r w:rsidR="007D4313" w:rsidRPr="00E210E7">
        <w:t>Imperial</w:t>
      </w:r>
      <w:r w:rsidR="00F60C1D">
        <w:t xml:space="preserve"> e</w:t>
      </w:r>
      <w:r w:rsidR="007D4313" w:rsidRPr="00E210E7">
        <w:t>xhibitions during this period and an</w:t>
      </w:r>
      <w:r w:rsidR="007D4313" w:rsidRPr="00E210E7">
        <w:br/>
        <w:t>expansion of music-hall entertainment where patriotic</w:t>
      </w:r>
      <w:r w:rsidR="00594D86" w:rsidRPr="00E210E7">
        <w:t xml:space="preserve"> </w:t>
      </w:r>
      <w:r w:rsidR="007D4313" w:rsidRPr="00E210E7">
        <w:t xml:space="preserve">songs celebrating the </w:t>
      </w:r>
      <w:r w:rsidR="001E4262">
        <w:t>Empire</w:t>
      </w:r>
      <w:r w:rsidR="007D4313" w:rsidRPr="00E210E7">
        <w:t xml:space="preserve"> were a staple element</w:t>
      </w:r>
      <w:r w:rsidR="008A4B43" w:rsidRPr="00E210E7">
        <w:t xml:space="preserve">’ </w:t>
      </w:r>
      <w:r w:rsidR="00DC3124" w:rsidRPr="00E210E7">
        <w:t xml:space="preserve">allowed discourses of </w:t>
      </w:r>
      <w:r w:rsidR="001E4262">
        <w:t>Empire</w:t>
      </w:r>
      <w:r w:rsidR="00DC3124" w:rsidRPr="00E210E7">
        <w:t xml:space="preserve"> to permeate Victorian childhood to </w:t>
      </w:r>
      <w:r w:rsidR="00CF0D58" w:rsidRPr="00E210E7">
        <w:t>a startling extent.</w:t>
      </w:r>
      <w:r w:rsidR="000E28D8" w:rsidRPr="00E210E7">
        <w:rPr>
          <w:rStyle w:val="FootnoteReference"/>
        </w:rPr>
        <w:footnoteReference w:id="42"/>
      </w:r>
      <w:r w:rsidR="00CF0D58" w:rsidRPr="00E210E7">
        <w:t xml:space="preserve"> </w:t>
      </w:r>
      <w:r w:rsidR="00E43E2E" w:rsidRPr="00E210E7">
        <w:t xml:space="preserve">While historians may be inclined to assume that </w:t>
      </w:r>
      <w:r w:rsidR="007020A3" w:rsidRPr="00E210E7">
        <w:t xml:space="preserve">periodical literature </w:t>
      </w:r>
      <w:r w:rsidR="00633814" w:rsidRPr="00E210E7">
        <w:t xml:space="preserve">would primarily have been accessed by the middle and </w:t>
      </w:r>
      <w:r w:rsidR="00326FC0">
        <w:t>upper-class</w:t>
      </w:r>
      <w:r w:rsidR="00633814" w:rsidRPr="00E210E7">
        <w:t xml:space="preserve">es, Porter has suggested </w:t>
      </w:r>
      <w:r w:rsidR="003A2A0D" w:rsidRPr="00E210E7">
        <w:t>that contemporary ideal</w:t>
      </w:r>
      <w:r w:rsidR="00FE0262" w:rsidRPr="00E210E7">
        <w:t xml:space="preserve">s would </w:t>
      </w:r>
      <w:r w:rsidR="00BC52FF" w:rsidRPr="00E210E7">
        <w:t xml:space="preserve">have </w:t>
      </w:r>
      <w:r w:rsidR="004C7B96">
        <w:t>‘</w:t>
      </w:r>
      <w:r w:rsidR="00BC52FF" w:rsidRPr="00E210E7">
        <w:t>trickled down</w:t>
      </w:r>
      <w:r w:rsidR="004C7B96">
        <w:t>’</w:t>
      </w:r>
      <w:r w:rsidR="00BC52FF" w:rsidRPr="00E210E7">
        <w:t xml:space="preserve">, </w:t>
      </w:r>
      <w:r w:rsidR="00BA4C51" w:rsidRPr="00E210E7">
        <w:t>stressing</w:t>
      </w:r>
      <w:r w:rsidR="00BC52FF" w:rsidRPr="00E210E7">
        <w:t xml:space="preserve"> that class boundaries in Victorian Britain were </w:t>
      </w:r>
      <w:r w:rsidR="000E28D8" w:rsidRPr="00E210E7">
        <w:t>in no way solidified.</w:t>
      </w:r>
      <w:r w:rsidR="004C4C94" w:rsidRPr="00E210E7">
        <w:rPr>
          <w:rStyle w:val="FootnoteReference"/>
        </w:rPr>
        <w:footnoteReference w:id="43"/>
      </w:r>
      <w:r w:rsidR="00BA4C51" w:rsidRPr="00E210E7">
        <w:t xml:space="preserve"> Thus, w</w:t>
      </w:r>
      <w:r w:rsidR="00D87957" w:rsidRPr="00E210E7">
        <w:t xml:space="preserve">hen </w:t>
      </w:r>
      <w:r w:rsidR="00C912CD" w:rsidRPr="00E210E7">
        <w:t xml:space="preserve">discourses of </w:t>
      </w:r>
      <w:r w:rsidR="001E4262">
        <w:t>Empire</w:t>
      </w:r>
      <w:r w:rsidR="00D87957" w:rsidRPr="00E210E7">
        <w:t xml:space="preserve"> w</w:t>
      </w:r>
      <w:r w:rsidR="00C912CD" w:rsidRPr="00E210E7">
        <w:t>ere</w:t>
      </w:r>
      <w:r w:rsidR="00D87957" w:rsidRPr="00E210E7">
        <w:t xml:space="preserve"> not </w:t>
      </w:r>
      <w:r w:rsidR="000C5BC4" w:rsidRPr="00E210E7">
        <w:t>prevailing upon</w:t>
      </w:r>
      <w:r w:rsidR="00D87957" w:rsidRPr="00E210E7">
        <w:t xml:space="preserve"> Victorian childhood through education, </w:t>
      </w:r>
      <w:r w:rsidR="008F647E" w:rsidRPr="00E210E7">
        <w:t xml:space="preserve">they </w:t>
      </w:r>
      <w:r w:rsidR="00D87957" w:rsidRPr="00E210E7">
        <w:t xml:space="preserve">seemed to permeate social and cultural experiences, </w:t>
      </w:r>
      <w:r w:rsidR="00400047" w:rsidRPr="00E210E7">
        <w:t xml:space="preserve">particularly after the 1870 Education Act due to external </w:t>
      </w:r>
      <w:r w:rsidR="00C912CD" w:rsidRPr="00E210E7">
        <w:t>cultivation of imperialism.</w:t>
      </w:r>
    </w:p>
    <w:p w14:paraId="58C58DB1" w14:textId="77777777" w:rsidR="009D72C9" w:rsidRDefault="009D72C9" w:rsidP="0038127D">
      <w:pPr>
        <w:spacing w:line="360" w:lineRule="auto"/>
        <w:rPr>
          <w:b/>
          <w:bCs/>
        </w:rPr>
      </w:pPr>
    </w:p>
    <w:p w14:paraId="5D3E1331" w14:textId="1C69E067" w:rsidR="00174017" w:rsidRPr="009D72C9" w:rsidRDefault="009D72C9" w:rsidP="0038127D">
      <w:pPr>
        <w:spacing w:line="360" w:lineRule="auto"/>
        <w:rPr>
          <w:b/>
          <w:bCs/>
        </w:rPr>
      </w:pPr>
      <w:r w:rsidRPr="009D72C9">
        <w:rPr>
          <w:b/>
          <w:bCs/>
        </w:rPr>
        <w:t>Conclusion</w:t>
      </w:r>
    </w:p>
    <w:p w14:paraId="7E26C736" w14:textId="2BE8BD0F" w:rsidR="00686D30" w:rsidRDefault="000D5605" w:rsidP="0038127D">
      <w:pPr>
        <w:spacing w:line="360" w:lineRule="auto"/>
      </w:pPr>
      <w:r>
        <w:t>Though</w:t>
      </w:r>
      <w:r w:rsidR="00554070">
        <w:t xml:space="preserve"> informal education </w:t>
      </w:r>
      <w:r w:rsidR="004737D7">
        <w:t xml:space="preserve">opportunities provided by Sunday schools </w:t>
      </w:r>
      <w:r w:rsidR="00142AF6">
        <w:t xml:space="preserve">scarcely offered imperialism an opportunity to permeate Victorian childhood, </w:t>
      </w:r>
      <w:r w:rsidR="009D72C9">
        <w:t>they</w:t>
      </w:r>
      <w:r w:rsidR="00142AF6">
        <w:t xml:space="preserve"> did </w:t>
      </w:r>
      <w:r w:rsidR="00805D92">
        <w:t xml:space="preserve">work to </w:t>
      </w:r>
      <w:r w:rsidR="00D33E04">
        <w:t>e</w:t>
      </w:r>
      <w:r w:rsidR="00BF632F">
        <w:t>mphasise inequalit</w:t>
      </w:r>
      <w:r w:rsidR="00320774">
        <w:t>ies</w:t>
      </w:r>
      <w:r w:rsidR="00BF632F">
        <w:t xml:space="preserve"> compounded by class and gender. </w:t>
      </w:r>
      <w:r w:rsidR="00320774">
        <w:t xml:space="preserve">While working-class children might have expected </w:t>
      </w:r>
      <w:r w:rsidR="00355D9D">
        <w:t>to receive a</w:t>
      </w:r>
      <w:r w:rsidR="00CB1242">
        <w:t>n informal</w:t>
      </w:r>
      <w:r w:rsidR="00355D9D">
        <w:t>, parochially compiled c</w:t>
      </w:r>
      <w:r w:rsidR="00370889">
        <w:t xml:space="preserve">urriculum as well as charitable sustenance, middle-class girls </w:t>
      </w:r>
      <w:r w:rsidR="00AA6937">
        <w:t xml:space="preserve">were able to access informal education in </w:t>
      </w:r>
      <w:r w:rsidR="003A459A">
        <w:t>pedagogical roles.</w:t>
      </w:r>
      <w:r w:rsidR="00425B32">
        <w:rPr>
          <w:rStyle w:val="FootnoteReference"/>
        </w:rPr>
        <w:footnoteReference w:id="44"/>
      </w:r>
      <w:r w:rsidR="00066F4C">
        <w:t xml:space="preserve"> </w:t>
      </w:r>
      <w:r w:rsidR="00D31793">
        <w:t xml:space="preserve">Had discourses of </w:t>
      </w:r>
      <w:r w:rsidR="001E4262">
        <w:t>Empire</w:t>
      </w:r>
      <w:r w:rsidR="00D31793">
        <w:t xml:space="preserve"> permeated Sunday school curricula as </w:t>
      </w:r>
      <w:proofErr w:type="spellStart"/>
      <w:r w:rsidR="00D31793">
        <w:t>Tholf</w:t>
      </w:r>
      <w:r w:rsidR="002D7A8D">
        <w:t>sen</w:t>
      </w:r>
      <w:proofErr w:type="spellEnd"/>
      <w:r w:rsidR="002D7A8D">
        <w:t xml:space="preserve"> has suggested, imperialism</w:t>
      </w:r>
      <w:r w:rsidR="006869F3">
        <w:t xml:space="preserve"> surely</w:t>
      </w:r>
      <w:r w:rsidR="002D7A8D">
        <w:t xml:space="preserve"> would have </w:t>
      </w:r>
      <w:r w:rsidR="006869F3">
        <w:t>directed working and middle-class children in divergent ways.</w:t>
      </w:r>
      <w:r w:rsidR="002E1016">
        <w:rPr>
          <w:rStyle w:val="FootnoteReference"/>
        </w:rPr>
        <w:footnoteReference w:id="45"/>
      </w:r>
      <w:r w:rsidR="00B31BC9">
        <w:t xml:space="preserve"> </w:t>
      </w:r>
      <w:r w:rsidR="0016554E">
        <w:t xml:space="preserve">Formal </w:t>
      </w:r>
      <w:r w:rsidR="00CB7083">
        <w:t>education</w:t>
      </w:r>
      <w:r w:rsidR="00854936">
        <w:t xml:space="preserve">al institutions such as </w:t>
      </w:r>
      <w:r w:rsidR="00CB7083">
        <w:t xml:space="preserve">fee </w:t>
      </w:r>
      <w:r w:rsidR="00425B32">
        <w:t>paying,</w:t>
      </w:r>
      <w:r w:rsidR="008635C3">
        <w:t xml:space="preserve"> </w:t>
      </w:r>
      <w:r w:rsidR="00CB7083">
        <w:t xml:space="preserve">and boarding schools have been </w:t>
      </w:r>
      <w:r w:rsidR="000437F1">
        <w:t>identified</w:t>
      </w:r>
      <w:r w:rsidR="00CB7083">
        <w:t xml:space="preserve"> by Porter as </w:t>
      </w:r>
      <w:r w:rsidR="007F6D76">
        <w:t xml:space="preserve">institutions </w:t>
      </w:r>
      <w:r w:rsidR="000437F1">
        <w:t xml:space="preserve">that </w:t>
      </w:r>
      <w:r w:rsidR="00AF523F">
        <w:t xml:space="preserve">adopted imperial </w:t>
      </w:r>
      <w:r w:rsidR="00854936">
        <w:t>teaching materials prior to the 1870 Education Act.</w:t>
      </w:r>
      <w:r w:rsidR="002E1016">
        <w:rPr>
          <w:rStyle w:val="FootnoteReference"/>
        </w:rPr>
        <w:footnoteReference w:id="46"/>
      </w:r>
      <w:r w:rsidR="00854936">
        <w:t xml:space="preserve"> </w:t>
      </w:r>
      <w:r w:rsidR="00F73F16">
        <w:t>Imperial ideals</w:t>
      </w:r>
      <w:r w:rsidR="000932EA">
        <w:t xml:space="preserve"> found to be </w:t>
      </w:r>
      <w:r w:rsidR="003D4330">
        <w:t>presented through educational textbooks are</w:t>
      </w:r>
      <w:r w:rsidR="00F73F16">
        <w:t xml:space="preserve"> </w:t>
      </w:r>
      <w:r w:rsidR="003D4330">
        <w:t>however</w:t>
      </w:r>
      <w:r w:rsidR="00F73F16">
        <w:t>,</w:t>
      </w:r>
      <w:r w:rsidR="003D4330">
        <w:t xml:space="preserve"> limited to permeating the childhoods of </w:t>
      </w:r>
      <w:r w:rsidR="00602526">
        <w:t>middle and upper-class</w:t>
      </w:r>
      <w:r w:rsidR="00845013">
        <w:t xml:space="preserve"> children on account of </w:t>
      </w:r>
      <w:r w:rsidR="00F73F16">
        <w:t xml:space="preserve">monetary </w:t>
      </w:r>
      <w:r w:rsidR="00845013">
        <w:t>requirements for fee paying and boarding schools.</w:t>
      </w:r>
      <w:r w:rsidR="00602526">
        <w:t xml:space="preserve"> </w:t>
      </w:r>
      <w:r w:rsidR="00786866">
        <w:t>Moreover,</w:t>
      </w:r>
      <w:r w:rsidR="00D4394A">
        <w:t xml:space="preserve"> formal education systems in Victorian Britain continue to demonstrate an interconnection between class and gender. While </w:t>
      </w:r>
      <w:r w:rsidR="00786866">
        <w:t>middle and upper-class</w:t>
      </w:r>
      <w:r w:rsidR="00D4394A">
        <w:t xml:space="preserve"> boys may have been afforded a private education</w:t>
      </w:r>
      <w:r w:rsidR="008E7C5E">
        <w:t xml:space="preserve"> </w:t>
      </w:r>
      <w:r w:rsidR="00175AC0">
        <w:t>that taught</w:t>
      </w:r>
      <w:r w:rsidR="008E7C5E">
        <w:t xml:space="preserve"> imperial </w:t>
      </w:r>
      <w:r w:rsidR="00175AC0">
        <w:t>principles</w:t>
      </w:r>
      <w:r w:rsidR="00D4394A">
        <w:t xml:space="preserve">, </w:t>
      </w:r>
      <w:r w:rsidR="00175AC0">
        <w:t xml:space="preserve">the expectation of </w:t>
      </w:r>
      <w:r w:rsidR="00DB7C93">
        <w:t xml:space="preserve">middle-class girls to preserve </w:t>
      </w:r>
      <w:r w:rsidR="00175AC0">
        <w:t xml:space="preserve">their </w:t>
      </w:r>
      <w:r w:rsidR="00786866">
        <w:t>marriageability</w:t>
      </w:r>
      <w:r w:rsidR="00DB7C93">
        <w:t xml:space="preserve"> and remain within the domestic sphere would have made them less likely to</w:t>
      </w:r>
      <w:r w:rsidR="00786866">
        <w:t xml:space="preserve"> experience discourses of </w:t>
      </w:r>
      <w:r w:rsidR="001E4262">
        <w:t>Empire</w:t>
      </w:r>
      <w:r w:rsidR="00786866">
        <w:t xml:space="preserve"> through formal education systems.</w:t>
      </w:r>
      <w:r w:rsidR="00CE3209">
        <w:rPr>
          <w:rStyle w:val="FootnoteReference"/>
        </w:rPr>
        <w:footnoteReference w:id="47"/>
      </w:r>
      <w:r w:rsidR="00B31BC9">
        <w:t xml:space="preserve"> </w:t>
      </w:r>
      <w:r w:rsidR="001C5FD7">
        <w:t>Although</w:t>
      </w:r>
      <w:r w:rsidR="00B85EB0">
        <w:t xml:space="preserve"> </w:t>
      </w:r>
      <w:r w:rsidR="00665A4A">
        <w:t xml:space="preserve">an absence from education before the 1870 </w:t>
      </w:r>
      <w:r w:rsidR="00665A4A">
        <w:lastRenderedPageBreak/>
        <w:t xml:space="preserve">Education Act might have suggested </w:t>
      </w:r>
      <w:r w:rsidR="00B85EB0">
        <w:t xml:space="preserve">an exclusion from discourses of </w:t>
      </w:r>
      <w:r w:rsidR="001E4262">
        <w:t>Empire</w:t>
      </w:r>
      <w:r w:rsidR="00B85EB0">
        <w:t xml:space="preserve">, </w:t>
      </w:r>
      <w:r w:rsidR="00571AA4">
        <w:t xml:space="preserve">work such as Edgerton’s has suggested that working-class children </w:t>
      </w:r>
      <w:r w:rsidR="00AA1A22">
        <w:t xml:space="preserve">performing waged labour in industries such as cotton textiles and coal </w:t>
      </w:r>
      <w:r w:rsidR="009C4207">
        <w:t xml:space="preserve">would have been aware of </w:t>
      </w:r>
      <w:r w:rsidR="001E4262">
        <w:t>Empire</w:t>
      </w:r>
      <w:r w:rsidR="009C4207">
        <w:t xml:space="preserve"> due to the distribution of goods.</w:t>
      </w:r>
      <w:r w:rsidR="008B55D3">
        <w:rPr>
          <w:rStyle w:val="FootnoteReference"/>
        </w:rPr>
        <w:footnoteReference w:id="48"/>
      </w:r>
      <w:r w:rsidR="00B26EEA">
        <w:t xml:space="preserve"> </w:t>
      </w:r>
      <w:r w:rsidR="00724144">
        <w:t>Uniformly, th</w:t>
      </w:r>
      <w:r w:rsidR="008B55D3">
        <w:t xml:space="preserve">is exposure to imperial discourse is influenced by gender. </w:t>
      </w:r>
      <w:r w:rsidR="00137980">
        <w:t>Boys’</w:t>
      </w:r>
      <w:r w:rsidR="00CE567D">
        <w:t xml:space="preserve"> </w:t>
      </w:r>
      <w:r w:rsidR="00E65F9E">
        <w:t>exclusion from</w:t>
      </w:r>
      <w:r w:rsidR="00CE567D">
        <w:t xml:space="preserve"> education and </w:t>
      </w:r>
      <w:r w:rsidR="001E4262">
        <w:t>Empire</w:t>
      </w:r>
      <w:r w:rsidR="009B1E33">
        <w:t xml:space="preserve"> could be </w:t>
      </w:r>
      <w:r w:rsidR="00D815F7">
        <w:t xml:space="preserve">restored through exposure to </w:t>
      </w:r>
      <w:r w:rsidR="001E4262">
        <w:t>Empire</w:t>
      </w:r>
      <w:r w:rsidR="00D815F7">
        <w:t xml:space="preserve"> </w:t>
      </w:r>
      <w:r w:rsidR="00E61891">
        <w:t>in industrial labour and trade, however</w:t>
      </w:r>
      <w:r w:rsidR="0085472A">
        <w:t xml:space="preserve">, girls’ exclusion from education and therefore discourses of </w:t>
      </w:r>
      <w:r w:rsidR="001E4262">
        <w:t>Empire</w:t>
      </w:r>
      <w:r w:rsidR="0085472A">
        <w:t xml:space="preserve"> was likely to result </w:t>
      </w:r>
      <w:r w:rsidR="008C20C0">
        <w:t xml:space="preserve">in </w:t>
      </w:r>
      <w:r w:rsidR="00B02FEE">
        <w:t>their</w:t>
      </w:r>
      <w:r w:rsidR="008C20C0">
        <w:t xml:space="preserve"> relegation to the domestic sphere</w:t>
      </w:r>
      <w:r w:rsidR="006B6F71">
        <w:t xml:space="preserve"> where she was comparatively exposed to discourses of </w:t>
      </w:r>
      <w:r w:rsidR="001E4262">
        <w:t>Empire</w:t>
      </w:r>
      <w:r w:rsidR="006B6F71">
        <w:t xml:space="preserve"> to a lesser extent.</w:t>
      </w:r>
      <w:r w:rsidR="00B9692F">
        <w:rPr>
          <w:rStyle w:val="FootnoteReference"/>
        </w:rPr>
        <w:footnoteReference w:id="49"/>
      </w:r>
      <w:r w:rsidR="00C63BE7">
        <w:t xml:space="preserve"> </w:t>
      </w:r>
      <w:r w:rsidR="00281B72">
        <w:t xml:space="preserve">Crucially however, Humphries has highlighted the way in which </w:t>
      </w:r>
      <w:r w:rsidR="00785287">
        <w:t xml:space="preserve">declining rates of child labour over the nineteenth century as a result of the Factory Acts and the 1870 Education Act </w:t>
      </w:r>
      <w:r w:rsidR="00907842">
        <w:t xml:space="preserve">comprehensively </w:t>
      </w:r>
      <w:r w:rsidR="00FC4D6B">
        <w:t xml:space="preserve">reduced the exposure of both boys and girls to discourses of </w:t>
      </w:r>
      <w:r w:rsidR="001E4262">
        <w:t>Empire</w:t>
      </w:r>
      <w:r w:rsidR="00AA2881">
        <w:t>, reducing the value of this argument.</w:t>
      </w:r>
      <w:r w:rsidR="004C0E8A">
        <w:rPr>
          <w:rStyle w:val="FootnoteReference"/>
        </w:rPr>
        <w:footnoteReference w:id="50"/>
      </w:r>
    </w:p>
    <w:p w14:paraId="368425CD" w14:textId="3680B361" w:rsidR="00D209D2" w:rsidRDefault="003614B7" w:rsidP="0038127D">
      <w:pPr>
        <w:spacing w:line="360" w:lineRule="auto"/>
      </w:pPr>
      <w:r>
        <w:t xml:space="preserve">Superficially, discourses of </w:t>
      </w:r>
      <w:r w:rsidR="001E4262">
        <w:t>Empire</w:t>
      </w:r>
      <w:r>
        <w:t xml:space="preserve"> do appear to permeate Victorian childhood to a greater extent </w:t>
      </w:r>
      <w:r w:rsidR="005D5810">
        <w:t xml:space="preserve">after the 1870 Education Act. Historians such as </w:t>
      </w:r>
      <w:proofErr w:type="spellStart"/>
      <w:r w:rsidR="005D5810">
        <w:t>Beaven</w:t>
      </w:r>
      <w:proofErr w:type="spellEnd"/>
      <w:r w:rsidR="005D5810">
        <w:t xml:space="preserve"> have illustrated the introduction of military drills and nationalist </w:t>
      </w:r>
      <w:r w:rsidR="00AA0FA0">
        <w:t>hymns</w:t>
      </w:r>
      <w:r w:rsidR="00A017CC">
        <w:t xml:space="preserve"> into Elementary school curricula, suggesting an increase in imperial discourse</w:t>
      </w:r>
      <w:r w:rsidR="000C2D62">
        <w:t xml:space="preserve"> in education</w:t>
      </w:r>
      <w:r w:rsidR="00A017CC">
        <w:t xml:space="preserve"> towards the end of the nineteenth century.</w:t>
      </w:r>
      <w:r w:rsidR="00AA0FA0">
        <w:rPr>
          <w:rStyle w:val="FootnoteReference"/>
        </w:rPr>
        <w:footnoteReference w:id="51"/>
      </w:r>
      <w:r w:rsidR="00AA0FA0">
        <w:t xml:space="preserve"> Though </w:t>
      </w:r>
      <w:r w:rsidR="00084151">
        <w:t xml:space="preserve">suitable evidence has been provided to support the argument that discourses of </w:t>
      </w:r>
      <w:r w:rsidR="001E4262">
        <w:t>Empire</w:t>
      </w:r>
      <w:r w:rsidR="00084151">
        <w:t xml:space="preserve"> permeated Victorian childhood to a greater extent </w:t>
      </w:r>
      <w:r w:rsidR="0039130D">
        <w:t xml:space="preserve">after the 1870 Education Act, it is imperative to consider the extent to which </w:t>
      </w:r>
      <w:r w:rsidR="005251DA">
        <w:t>i</w:t>
      </w:r>
      <w:r w:rsidR="0039130D">
        <w:t xml:space="preserve">mperialism in Britain was </w:t>
      </w:r>
      <w:r w:rsidR="007741AB">
        <w:t xml:space="preserve">accelerating towards the end of the nineteenth century on account of </w:t>
      </w:r>
      <w:r w:rsidR="00D91577">
        <w:t xml:space="preserve">trade expansion and </w:t>
      </w:r>
      <w:r w:rsidR="00B31BC9">
        <w:t xml:space="preserve">the identification of monarchy with </w:t>
      </w:r>
      <w:r w:rsidR="001E4262">
        <w:t>Empire</w:t>
      </w:r>
      <w:r w:rsidR="00B31BC9">
        <w:t>.</w:t>
      </w:r>
      <w:r w:rsidR="000C2D62">
        <w:t xml:space="preserve"> Queen Victoria’s </w:t>
      </w:r>
      <w:r w:rsidR="00FC1C63">
        <w:t xml:space="preserve">role as Empress of India as well as her nationally celebrated </w:t>
      </w:r>
      <w:r w:rsidR="006B01A1">
        <w:t xml:space="preserve">Golden and Diamond Jubilees undoubtedly allowed discourses of </w:t>
      </w:r>
      <w:r w:rsidR="001E4262">
        <w:t>Empire</w:t>
      </w:r>
      <w:r w:rsidR="006B01A1">
        <w:t xml:space="preserve"> to permeate the lives of Victorian children</w:t>
      </w:r>
      <w:r w:rsidR="00421933">
        <w:t>.</w:t>
      </w:r>
      <w:r w:rsidR="000B5D2C">
        <w:rPr>
          <w:rStyle w:val="FootnoteReference"/>
        </w:rPr>
        <w:footnoteReference w:id="52"/>
      </w:r>
      <w:r w:rsidR="00421933">
        <w:t xml:space="preserve"> </w:t>
      </w:r>
      <w:r w:rsidR="007D3719">
        <w:t xml:space="preserve">Importantly, national perpetuation of imperialistic discourse as well as </w:t>
      </w:r>
      <w:r w:rsidR="009E49BA">
        <w:t xml:space="preserve">the prominence of </w:t>
      </w:r>
      <w:r w:rsidR="001E4262">
        <w:t>Empire</w:t>
      </w:r>
      <w:r w:rsidR="009E49BA">
        <w:t xml:space="preserve"> in popular fiction and society </w:t>
      </w:r>
      <w:r w:rsidR="005C6F9B">
        <w:t xml:space="preserve">seems to have been experienced by those across class and gender spectrums. </w:t>
      </w:r>
      <w:proofErr w:type="gramStart"/>
      <w:r w:rsidR="00EA0AF4">
        <w:t>On account of</w:t>
      </w:r>
      <w:proofErr w:type="gramEnd"/>
      <w:r w:rsidR="00EA0AF4">
        <w:t xml:space="preserve"> this</w:t>
      </w:r>
      <w:r w:rsidR="006D46BA">
        <w:t>, as well as sufficient evidence that imperial discourse permeated Victorian childhood</w:t>
      </w:r>
      <w:r w:rsidR="000C68AD">
        <w:t xml:space="preserve"> most significantly towards the end of the nineteenth century, (though not entirely through elementary schooling), </w:t>
      </w:r>
      <w:r w:rsidR="007858A9">
        <w:t xml:space="preserve">it is reasonable to argue that discourses of </w:t>
      </w:r>
      <w:r w:rsidR="001E4262">
        <w:t>Empire</w:t>
      </w:r>
      <w:r w:rsidR="007858A9">
        <w:t xml:space="preserve"> permeated Victorian childhood to the greatest extent </w:t>
      </w:r>
      <w:r w:rsidR="000B5D2C">
        <w:t>after the introduction of the 1870 Education Act.</w:t>
      </w:r>
    </w:p>
    <w:p w14:paraId="38B9CE2E" w14:textId="77777777" w:rsidR="00686D30" w:rsidRDefault="00686D30" w:rsidP="00267C36"/>
    <w:p w14:paraId="457579AF" w14:textId="77777777" w:rsidR="00686D30" w:rsidRDefault="00686D30" w:rsidP="00267C36"/>
    <w:p w14:paraId="4F0803CF" w14:textId="77777777" w:rsidR="00686D30" w:rsidRDefault="00686D30" w:rsidP="00267C36"/>
    <w:p w14:paraId="4177EB05" w14:textId="77777777" w:rsidR="0038127D" w:rsidRDefault="0038127D" w:rsidP="00267C36"/>
    <w:p w14:paraId="36C3EA1A" w14:textId="77777777" w:rsidR="0038127D" w:rsidRDefault="0038127D" w:rsidP="00267C36"/>
    <w:p w14:paraId="26B15878" w14:textId="77777777" w:rsidR="0038127D" w:rsidRDefault="0038127D" w:rsidP="00267C36"/>
    <w:p w14:paraId="7CB55491" w14:textId="77777777" w:rsidR="0038127D" w:rsidRDefault="0038127D" w:rsidP="00267C36"/>
    <w:p w14:paraId="12FC18CD" w14:textId="77777777" w:rsidR="0038127D" w:rsidRDefault="0038127D" w:rsidP="00267C36"/>
    <w:p w14:paraId="58F31949" w14:textId="77777777" w:rsidR="0038127D" w:rsidRDefault="0038127D" w:rsidP="00267C36"/>
    <w:p w14:paraId="73844D47" w14:textId="77777777" w:rsidR="0038127D" w:rsidRDefault="0038127D" w:rsidP="00267C36"/>
    <w:p w14:paraId="47D73E5F" w14:textId="77777777" w:rsidR="0038127D" w:rsidRDefault="0038127D" w:rsidP="00267C36"/>
    <w:p w14:paraId="0B236412" w14:textId="77777777" w:rsidR="0038127D" w:rsidRDefault="0038127D" w:rsidP="00267C36"/>
    <w:p w14:paraId="34A91A27" w14:textId="77777777" w:rsidR="0038127D" w:rsidRDefault="0038127D" w:rsidP="00267C36"/>
    <w:p w14:paraId="4B753257" w14:textId="77777777" w:rsidR="0038127D" w:rsidRDefault="0038127D" w:rsidP="00267C36"/>
    <w:p w14:paraId="61251D8E" w14:textId="77777777" w:rsidR="0038127D" w:rsidRDefault="0038127D" w:rsidP="00267C36"/>
    <w:p w14:paraId="58B934F7" w14:textId="77777777" w:rsidR="0038127D" w:rsidRDefault="0038127D" w:rsidP="00267C36"/>
    <w:p w14:paraId="1490E791" w14:textId="77777777" w:rsidR="0038127D" w:rsidRDefault="0038127D" w:rsidP="00267C36"/>
    <w:p w14:paraId="0D7DD03B" w14:textId="77777777" w:rsidR="0038127D" w:rsidRDefault="0038127D" w:rsidP="00267C36"/>
    <w:p w14:paraId="4DF9D846" w14:textId="77777777" w:rsidR="0038127D" w:rsidRDefault="0038127D" w:rsidP="00267C36"/>
    <w:p w14:paraId="409CAA8A" w14:textId="77777777" w:rsidR="0038127D" w:rsidRDefault="0038127D" w:rsidP="00267C36"/>
    <w:p w14:paraId="2935DAEB" w14:textId="77777777" w:rsidR="0038127D" w:rsidRDefault="0038127D" w:rsidP="00267C36"/>
    <w:p w14:paraId="5DFB4670" w14:textId="77777777" w:rsidR="0038127D" w:rsidRDefault="0038127D" w:rsidP="00267C36"/>
    <w:p w14:paraId="65CE4FD6" w14:textId="77777777" w:rsidR="0038127D" w:rsidRDefault="0038127D" w:rsidP="00267C36"/>
    <w:p w14:paraId="59BEBC98" w14:textId="77777777" w:rsidR="0038127D" w:rsidRDefault="0038127D" w:rsidP="00267C36"/>
    <w:p w14:paraId="7F3FCB06" w14:textId="77777777" w:rsidR="0038127D" w:rsidRPr="0038127D" w:rsidRDefault="0038127D" w:rsidP="0038127D">
      <w:pPr>
        <w:rPr>
          <w:b/>
          <w:bCs/>
        </w:rPr>
      </w:pPr>
      <w:r w:rsidRPr="0038127D">
        <w:rPr>
          <w:b/>
          <w:bCs/>
        </w:rPr>
        <w:t>Bibliography</w:t>
      </w:r>
      <w:r w:rsidRPr="0038127D">
        <w:rPr>
          <w:b/>
          <w:bCs/>
        </w:rPr>
        <w:tab/>
      </w:r>
    </w:p>
    <w:p w14:paraId="4D5C95CC" w14:textId="77777777" w:rsidR="0038127D" w:rsidRPr="0038127D" w:rsidRDefault="0038127D" w:rsidP="0038127D">
      <w:r w:rsidRPr="0038127D">
        <w:t xml:space="preserve">Armytage, Walter, ‘The 1870 education act’, </w:t>
      </w:r>
      <w:r w:rsidRPr="0038127D">
        <w:rPr>
          <w:i/>
          <w:iCs/>
        </w:rPr>
        <w:t>British Journal of Educational Studies</w:t>
      </w:r>
      <w:r w:rsidRPr="0038127D">
        <w:t>, 18, no. 2, (1970): 121-133.</w:t>
      </w:r>
    </w:p>
    <w:p w14:paraId="73EB8D3F" w14:textId="77777777" w:rsidR="0038127D" w:rsidRPr="0038127D" w:rsidRDefault="0038127D" w:rsidP="0038127D">
      <w:proofErr w:type="spellStart"/>
      <w:r w:rsidRPr="0038127D">
        <w:t>Beaven</w:t>
      </w:r>
      <w:proofErr w:type="spellEnd"/>
      <w:r w:rsidRPr="0038127D">
        <w:t xml:space="preserve">, Brad, ‘Educating the future citizens of empire: Working-class schooling, 1870–1939’, </w:t>
      </w:r>
      <w:r w:rsidRPr="0038127D">
        <w:rPr>
          <w:i/>
          <w:iCs/>
        </w:rPr>
        <w:t>Visions of empire</w:t>
      </w:r>
      <w:r w:rsidRPr="0038127D">
        <w:t>, (Manchester: Manchester University Press, 2017): 125-149.</w:t>
      </w:r>
    </w:p>
    <w:p w14:paraId="2E96976F" w14:textId="77777777" w:rsidR="0038127D" w:rsidRPr="0038127D" w:rsidRDefault="0038127D" w:rsidP="0038127D">
      <w:r w:rsidRPr="0038127D">
        <w:t xml:space="preserve">Burnett, John, </w:t>
      </w:r>
      <w:r w:rsidRPr="0038127D">
        <w:rPr>
          <w:i/>
          <w:iCs/>
        </w:rPr>
        <w:t xml:space="preserve">Destiny </w:t>
      </w:r>
      <w:proofErr w:type="gramStart"/>
      <w:r w:rsidRPr="0038127D">
        <w:rPr>
          <w:i/>
          <w:iCs/>
        </w:rPr>
        <w:t>Obscure :</w:t>
      </w:r>
      <w:proofErr w:type="gramEnd"/>
      <w:r w:rsidRPr="0038127D">
        <w:rPr>
          <w:i/>
          <w:iCs/>
        </w:rPr>
        <w:t xml:space="preserve"> Autobiographies of Childhood, Education and Family from the 1820s to The 1920s,</w:t>
      </w:r>
      <w:r w:rsidRPr="0038127D">
        <w:t xml:space="preserve"> (London: Taylor &amp; Francis Group, 1982).</w:t>
      </w:r>
    </w:p>
    <w:p w14:paraId="623C4661" w14:textId="77777777" w:rsidR="0038127D" w:rsidRPr="0038127D" w:rsidRDefault="0038127D" w:rsidP="0038127D">
      <w:r w:rsidRPr="0038127D">
        <w:t xml:space="preserve">Burstyn, Joan, </w:t>
      </w:r>
      <w:r w:rsidRPr="0038127D">
        <w:rPr>
          <w:i/>
          <w:iCs/>
        </w:rPr>
        <w:t>Victorian education and the ideal of womanhood</w:t>
      </w:r>
      <w:r w:rsidRPr="0038127D">
        <w:t>, (London: Routledge, 2016).</w:t>
      </w:r>
    </w:p>
    <w:p w14:paraId="3D64D4E6" w14:textId="77777777" w:rsidR="0038127D" w:rsidRPr="0038127D" w:rsidRDefault="0038127D" w:rsidP="0038127D">
      <w:r w:rsidRPr="0038127D">
        <w:lastRenderedPageBreak/>
        <w:t xml:space="preserve">Childs, Michael, </w:t>
      </w:r>
      <w:r w:rsidRPr="0038127D">
        <w:rPr>
          <w:i/>
          <w:iCs/>
        </w:rPr>
        <w:t>Labour's apprentices: working-class lads in late Victorian and Edwardian England</w:t>
      </w:r>
      <w:r w:rsidRPr="0038127D">
        <w:t>, (Montreal: McGill Queen's Press, 1992).</w:t>
      </w:r>
    </w:p>
    <w:p w14:paraId="60485757" w14:textId="77777777" w:rsidR="0038127D" w:rsidRPr="0038127D" w:rsidRDefault="0038127D" w:rsidP="0038127D">
      <w:r w:rsidRPr="0038127D">
        <w:t xml:space="preserve">CRO, CEE/log/15/1, ‘St Michael’s Church of England School </w:t>
      </w:r>
      <w:proofErr w:type="gramStart"/>
      <w:r w:rsidRPr="0038127D">
        <w:t>log book</w:t>
      </w:r>
      <w:proofErr w:type="gramEnd"/>
      <w:r w:rsidRPr="0038127D">
        <w:t>’, 9 March</w:t>
      </w:r>
      <w:r w:rsidRPr="0038127D">
        <w:br/>
        <w:t>1883; 3 March 1897.</w:t>
      </w:r>
    </w:p>
    <w:p w14:paraId="524B9200" w14:textId="77777777" w:rsidR="0038127D" w:rsidRPr="0038127D" w:rsidRDefault="0038127D" w:rsidP="0038127D">
      <w:proofErr w:type="spellStart"/>
      <w:r w:rsidRPr="0038127D">
        <w:t>Dunae</w:t>
      </w:r>
      <w:proofErr w:type="spellEnd"/>
      <w:r w:rsidRPr="0038127D">
        <w:t xml:space="preserve">, Patrick, ‘Boys' Literature and the Idea of Empire, 1870-1914’, </w:t>
      </w:r>
      <w:r w:rsidRPr="0038127D">
        <w:rPr>
          <w:i/>
          <w:iCs/>
        </w:rPr>
        <w:t>Victorian Studies,</w:t>
      </w:r>
      <w:r w:rsidRPr="0038127D">
        <w:t xml:space="preserve"> 24, (1980): 105-121.</w:t>
      </w:r>
    </w:p>
    <w:p w14:paraId="382CEB55" w14:textId="77777777" w:rsidR="0038127D" w:rsidRPr="0038127D" w:rsidRDefault="0038127D" w:rsidP="0038127D">
      <w:proofErr w:type="spellStart"/>
      <w:r w:rsidRPr="0038127D">
        <w:t>Dyhouse</w:t>
      </w:r>
      <w:proofErr w:type="spellEnd"/>
      <w:r w:rsidRPr="0038127D">
        <w:t xml:space="preserve">, Carol, ‘Towards a “feminine” curriculum for English schoolgirls: The demands of ideology 1870-1963’, </w:t>
      </w:r>
      <w:r w:rsidRPr="0038127D">
        <w:rPr>
          <w:i/>
          <w:iCs/>
        </w:rPr>
        <w:t>Women’s Studies International</w:t>
      </w:r>
      <w:r w:rsidRPr="0038127D">
        <w:t>, 1, (1978): 297-311.</w:t>
      </w:r>
    </w:p>
    <w:p w14:paraId="2E4CF3D9" w14:textId="77777777" w:rsidR="0038127D" w:rsidRPr="0038127D" w:rsidRDefault="0038127D" w:rsidP="0038127D">
      <w:r w:rsidRPr="0038127D">
        <w:t xml:space="preserve">Edgerton, David, </w:t>
      </w:r>
      <w:proofErr w:type="gramStart"/>
      <w:r w:rsidRPr="0038127D">
        <w:rPr>
          <w:i/>
          <w:iCs/>
        </w:rPr>
        <w:t>The</w:t>
      </w:r>
      <w:proofErr w:type="gramEnd"/>
      <w:r w:rsidRPr="0038127D">
        <w:rPr>
          <w:i/>
          <w:iCs/>
        </w:rPr>
        <w:t xml:space="preserve"> rise and fall of the British nation: A twentieth-century history</w:t>
      </w:r>
      <w:r w:rsidRPr="0038127D">
        <w:t>, (Penguin UK, 2018).</w:t>
      </w:r>
    </w:p>
    <w:p w14:paraId="593388BF" w14:textId="77777777" w:rsidR="0038127D" w:rsidRPr="0038127D" w:rsidRDefault="0038127D" w:rsidP="0038127D">
      <w:r w:rsidRPr="0038127D">
        <w:t xml:space="preserve">Fraser, Derek, </w:t>
      </w:r>
      <w:r w:rsidRPr="0038127D">
        <w:rPr>
          <w:i/>
          <w:iCs/>
        </w:rPr>
        <w:t>The Evolution of the British Welfare State</w:t>
      </w:r>
      <w:r w:rsidRPr="0038127D">
        <w:t>, fifth edition, (London: Palgrave, 2017).</w:t>
      </w:r>
    </w:p>
    <w:p w14:paraId="2911FB14" w14:textId="77777777" w:rsidR="0038127D" w:rsidRPr="0038127D" w:rsidRDefault="0038127D" w:rsidP="0038127D">
      <w:r w:rsidRPr="0038127D">
        <w:t xml:space="preserve">Frost, Ginger, Suzanne, </w:t>
      </w:r>
      <w:r w:rsidRPr="0038127D">
        <w:rPr>
          <w:i/>
          <w:iCs/>
        </w:rPr>
        <w:t>Victorian Childhoods</w:t>
      </w:r>
      <w:r w:rsidRPr="0038127D">
        <w:t>, (Dawson Books, 2009).</w:t>
      </w:r>
    </w:p>
    <w:p w14:paraId="31D9F320" w14:textId="77777777" w:rsidR="0038127D" w:rsidRPr="0038127D" w:rsidRDefault="0038127D" w:rsidP="0038127D">
      <w:r w:rsidRPr="0038127D">
        <w:t xml:space="preserve">Harris, Bernard, </w:t>
      </w:r>
      <w:r w:rsidRPr="0038127D">
        <w:rPr>
          <w:i/>
          <w:iCs/>
        </w:rPr>
        <w:t>The origins of the British welfare state: society, state and social welfare in England and Wales, 1800-1945</w:t>
      </w:r>
      <w:r w:rsidRPr="0038127D">
        <w:t>, (Macmillan International Higher Education, 2018).</w:t>
      </w:r>
    </w:p>
    <w:p w14:paraId="1150E9B2" w14:textId="77777777" w:rsidR="0038127D" w:rsidRPr="0038127D" w:rsidRDefault="0038127D" w:rsidP="0038127D">
      <w:r w:rsidRPr="0038127D">
        <w:t xml:space="preserve">Humphries, Jane, </w:t>
      </w:r>
      <w:proofErr w:type="gramStart"/>
      <w:r w:rsidRPr="0038127D">
        <w:rPr>
          <w:i/>
          <w:iCs/>
        </w:rPr>
        <w:t>Childhood</w:t>
      </w:r>
      <w:proofErr w:type="gramEnd"/>
      <w:r w:rsidRPr="0038127D">
        <w:rPr>
          <w:i/>
          <w:iCs/>
        </w:rPr>
        <w:t xml:space="preserve"> and child labour in the British industrial revolution,</w:t>
      </w:r>
      <w:r w:rsidRPr="0038127D">
        <w:t xml:space="preserve"> (Cambridge: Cambridge University Press, 2010).</w:t>
      </w:r>
    </w:p>
    <w:p w14:paraId="682207AF" w14:textId="77777777" w:rsidR="0038127D" w:rsidRPr="0038127D" w:rsidRDefault="0038127D" w:rsidP="0038127D">
      <w:proofErr w:type="spellStart"/>
      <w:r w:rsidRPr="0038127D">
        <w:t>Hyam</w:t>
      </w:r>
      <w:proofErr w:type="spellEnd"/>
      <w:r w:rsidRPr="0038127D">
        <w:t xml:space="preserve">, Ronald, </w:t>
      </w:r>
      <w:r w:rsidRPr="0038127D">
        <w:rPr>
          <w:i/>
          <w:iCs/>
        </w:rPr>
        <w:t>Britain's imperial century, 1815-1914: a study of empire and expansion</w:t>
      </w:r>
      <w:r w:rsidRPr="0038127D">
        <w:t>, (Springer, 2002).</w:t>
      </w:r>
    </w:p>
    <w:p w14:paraId="7C8DC359" w14:textId="77777777" w:rsidR="0038127D" w:rsidRPr="0038127D" w:rsidRDefault="0038127D" w:rsidP="0038127D">
      <w:r w:rsidRPr="0038127D">
        <w:t xml:space="preserve">King, Greg, </w:t>
      </w:r>
      <w:r w:rsidRPr="0038127D">
        <w:rPr>
          <w:i/>
          <w:iCs/>
        </w:rPr>
        <w:t xml:space="preserve">Twilight of </w:t>
      </w:r>
      <w:proofErr w:type="spellStart"/>
      <w:r w:rsidRPr="0038127D">
        <w:rPr>
          <w:i/>
          <w:iCs/>
        </w:rPr>
        <w:t>Splendor</w:t>
      </w:r>
      <w:proofErr w:type="spellEnd"/>
      <w:r w:rsidRPr="0038127D">
        <w:rPr>
          <w:i/>
          <w:iCs/>
        </w:rPr>
        <w:t>: the court of Queen Victoria during her diamond jubilee year</w:t>
      </w:r>
      <w:r w:rsidRPr="0038127D">
        <w:t>, (John Wiley &amp; Sons, 2007).</w:t>
      </w:r>
    </w:p>
    <w:p w14:paraId="658C3A6C" w14:textId="77777777" w:rsidR="0038127D" w:rsidRPr="0038127D" w:rsidRDefault="0038127D" w:rsidP="0038127D">
      <w:r w:rsidRPr="0038127D">
        <w:t xml:space="preserve">Lloyd, Amy, J, ‘The British Empire’, </w:t>
      </w:r>
      <w:r w:rsidRPr="0038127D">
        <w:rPr>
          <w:i/>
          <w:iCs/>
        </w:rPr>
        <w:t>British Library Newspapers</w:t>
      </w:r>
      <w:r w:rsidRPr="0038127D">
        <w:t>, (</w:t>
      </w:r>
      <w:proofErr w:type="spellStart"/>
      <w:r w:rsidRPr="0038127D">
        <w:t>Detriot</w:t>
      </w:r>
      <w:proofErr w:type="spellEnd"/>
      <w:r w:rsidRPr="0038127D">
        <w:t>: Gale, 2007).</w:t>
      </w:r>
    </w:p>
    <w:p w14:paraId="4FAA1C46" w14:textId="77777777" w:rsidR="0038127D" w:rsidRPr="0038127D" w:rsidRDefault="0038127D" w:rsidP="0038127D">
      <w:r w:rsidRPr="0038127D">
        <w:t xml:space="preserve">Marshall, Peter, James, eds. </w:t>
      </w:r>
      <w:r w:rsidRPr="0038127D">
        <w:rPr>
          <w:i/>
          <w:iCs/>
        </w:rPr>
        <w:t>The Cambridge illustrated history of the British Empire</w:t>
      </w:r>
      <w:r w:rsidRPr="0038127D">
        <w:t>. (Cambridge: Cambridge University Press, 2001).</w:t>
      </w:r>
    </w:p>
    <w:p w14:paraId="4C0B7781" w14:textId="77777777" w:rsidR="0038127D" w:rsidRPr="0038127D" w:rsidRDefault="0038127D" w:rsidP="0038127D">
      <w:r w:rsidRPr="0038127D">
        <w:t xml:space="preserve">McDermid, Jane, </w:t>
      </w:r>
      <w:r w:rsidRPr="0038127D">
        <w:rPr>
          <w:i/>
          <w:iCs/>
        </w:rPr>
        <w:t xml:space="preserve">The schooling of working-class girls in Victorian Scotland: gender, </w:t>
      </w:r>
      <w:proofErr w:type="gramStart"/>
      <w:r w:rsidRPr="0038127D">
        <w:rPr>
          <w:i/>
          <w:iCs/>
        </w:rPr>
        <w:t>education</w:t>
      </w:r>
      <w:proofErr w:type="gramEnd"/>
      <w:r w:rsidRPr="0038127D">
        <w:rPr>
          <w:i/>
          <w:iCs/>
        </w:rPr>
        <w:t xml:space="preserve"> and identity</w:t>
      </w:r>
      <w:r w:rsidRPr="0038127D">
        <w:t>, (London: Routledge, 2013).</w:t>
      </w:r>
    </w:p>
    <w:p w14:paraId="6EF4740A" w14:textId="77777777" w:rsidR="0038127D" w:rsidRPr="0038127D" w:rsidRDefault="0038127D" w:rsidP="0038127D">
      <w:r w:rsidRPr="0038127D">
        <w:t xml:space="preserve">Middleton, Nigel, ‘The Education Act of 1870 as the Start of the Modern Concept of the Child’, </w:t>
      </w:r>
      <w:r w:rsidRPr="0038127D">
        <w:rPr>
          <w:i/>
          <w:iCs/>
        </w:rPr>
        <w:t>British Journal of Educational Studies</w:t>
      </w:r>
      <w:r w:rsidRPr="0038127D">
        <w:t>, 18, no. 2, (1970): 166-179.</w:t>
      </w:r>
    </w:p>
    <w:p w14:paraId="33149E37" w14:textId="77777777" w:rsidR="0038127D" w:rsidRPr="0038127D" w:rsidRDefault="0038127D" w:rsidP="0038127D">
      <w:r w:rsidRPr="0038127D">
        <w:t xml:space="preserve">Mitchell, Sally, </w:t>
      </w:r>
      <w:r w:rsidRPr="0038127D">
        <w:rPr>
          <w:i/>
          <w:iCs/>
        </w:rPr>
        <w:t xml:space="preserve">Victorian Britain: An </w:t>
      </w:r>
      <w:proofErr w:type="spellStart"/>
      <w:r w:rsidRPr="0038127D">
        <w:rPr>
          <w:i/>
          <w:iCs/>
        </w:rPr>
        <w:t>Encyclopedia</w:t>
      </w:r>
      <w:proofErr w:type="spellEnd"/>
      <w:r w:rsidRPr="0038127D">
        <w:rPr>
          <w:i/>
          <w:iCs/>
        </w:rPr>
        <w:t>,</w:t>
      </w:r>
      <w:r w:rsidRPr="0038127D">
        <w:t xml:space="preserve"> (London: Routledge, 1988).</w:t>
      </w:r>
    </w:p>
    <w:p w14:paraId="3906841D" w14:textId="77777777" w:rsidR="0038127D" w:rsidRPr="0038127D" w:rsidRDefault="0038127D" w:rsidP="0038127D">
      <w:proofErr w:type="spellStart"/>
      <w:r w:rsidRPr="0038127D">
        <w:t>Nayar</w:t>
      </w:r>
      <w:proofErr w:type="spellEnd"/>
      <w:r w:rsidRPr="0038127D">
        <w:t xml:space="preserve">, Pramod, K, </w:t>
      </w:r>
      <w:r w:rsidRPr="0038127D">
        <w:rPr>
          <w:i/>
          <w:iCs/>
        </w:rPr>
        <w:t>Colonial voices: the discourses of Empire,</w:t>
      </w:r>
      <w:r w:rsidRPr="0038127D">
        <w:t xml:space="preserve"> (John Wiley &amp; Sons, 2012).</w:t>
      </w:r>
    </w:p>
    <w:p w14:paraId="4A072819" w14:textId="77777777" w:rsidR="0038127D" w:rsidRPr="0038127D" w:rsidRDefault="0038127D" w:rsidP="0038127D">
      <w:r w:rsidRPr="0038127D">
        <w:t xml:space="preserve">Porter, Bernard, </w:t>
      </w:r>
      <w:r w:rsidRPr="0038127D">
        <w:rPr>
          <w:i/>
          <w:iCs/>
        </w:rPr>
        <w:t>The absent-minded imperialists: Empire, society, and culture in Britain</w:t>
      </w:r>
      <w:r w:rsidRPr="0038127D">
        <w:t>, (Oxford: Oxford University Press, 2004).</w:t>
      </w:r>
    </w:p>
    <w:p w14:paraId="0F9A1F93" w14:textId="77777777" w:rsidR="0038127D" w:rsidRPr="0038127D" w:rsidRDefault="0038127D" w:rsidP="0038127D">
      <w:r w:rsidRPr="0038127D">
        <w:t xml:space="preserve">Steinbach, Susie, </w:t>
      </w:r>
      <w:r w:rsidRPr="0038127D">
        <w:rPr>
          <w:i/>
          <w:iCs/>
        </w:rPr>
        <w:t xml:space="preserve">Understanding the Victorians: Politics, </w:t>
      </w:r>
      <w:proofErr w:type="gramStart"/>
      <w:r w:rsidRPr="0038127D">
        <w:rPr>
          <w:i/>
          <w:iCs/>
        </w:rPr>
        <w:t>culture</w:t>
      </w:r>
      <w:proofErr w:type="gramEnd"/>
      <w:r w:rsidRPr="0038127D">
        <w:rPr>
          <w:i/>
          <w:iCs/>
        </w:rPr>
        <w:t xml:space="preserve"> and society in nineteenth-century Britain</w:t>
      </w:r>
      <w:r w:rsidRPr="0038127D">
        <w:t>, (London: Routledge, 2016).</w:t>
      </w:r>
    </w:p>
    <w:p w14:paraId="26BA11BC" w14:textId="77777777" w:rsidR="0038127D" w:rsidRPr="0038127D" w:rsidRDefault="0038127D" w:rsidP="0038127D">
      <w:r w:rsidRPr="0038127D">
        <w:t xml:space="preserve">Stephens, William, Brewer, </w:t>
      </w:r>
      <w:r w:rsidRPr="0038127D">
        <w:rPr>
          <w:i/>
          <w:iCs/>
        </w:rPr>
        <w:t>Education in Britain, 1750–1914</w:t>
      </w:r>
      <w:r w:rsidRPr="0038127D">
        <w:t>, (Macmillan International Higher Education, 1999).</w:t>
      </w:r>
    </w:p>
    <w:p w14:paraId="4B473023" w14:textId="77777777" w:rsidR="0038127D" w:rsidRPr="0038127D" w:rsidRDefault="0038127D" w:rsidP="0038127D">
      <w:proofErr w:type="spellStart"/>
      <w:r w:rsidRPr="0038127D">
        <w:t>Tholfsen</w:t>
      </w:r>
      <w:proofErr w:type="spellEnd"/>
      <w:r w:rsidRPr="0038127D">
        <w:t xml:space="preserve">, Trygve, ‘Moral Education in the Victorian Sunday School’, </w:t>
      </w:r>
      <w:r w:rsidRPr="0038127D">
        <w:rPr>
          <w:i/>
          <w:iCs/>
        </w:rPr>
        <w:t>History of Education Quarterly</w:t>
      </w:r>
      <w:r w:rsidRPr="0038127D">
        <w:t>, 20, (1980): 77-99.</w:t>
      </w:r>
    </w:p>
    <w:p w14:paraId="050E9C90" w14:textId="77777777" w:rsidR="0038127D" w:rsidRPr="0038127D" w:rsidRDefault="0038127D" w:rsidP="0038127D">
      <w:r w:rsidRPr="0038127D">
        <w:lastRenderedPageBreak/>
        <w:t xml:space="preserve">Winter, Thomas, ‘Victorian Era’, </w:t>
      </w:r>
      <w:r w:rsidRPr="0038127D">
        <w:rPr>
          <w:i/>
          <w:iCs/>
        </w:rPr>
        <w:t xml:space="preserve">American Masculinities: A Historical </w:t>
      </w:r>
      <w:proofErr w:type="spellStart"/>
      <w:r w:rsidRPr="0038127D">
        <w:rPr>
          <w:i/>
          <w:iCs/>
        </w:rPr>
        <w:t>Encyclopedia</w:t>
      </w:r>
      <w:proofErr w:type="spellEnd"/>
      <w:r w:rsidRPr="0038127D">
        <w:t>, (2004): 473-475.</w:t>
      </w:r>
    </w:p>
    <w:p w14:paraId="1C98FEBB" w14:textId="77777777" w:rsidR="0038127D" w:rsidRPr="0038127D" w:rsidRDefault="0038127D" w:rsidP="0038127D"/>
    <w:p w14:paraId="50EF1685" w14:textId="77777777" w:rsidR="0038127D" w:rsidRDefault="0038127D" w:rsidP="00267C36"/>
    <w:p w14:paraId="3379B9B5" w14:textId="77777777" w:rsidR="00686D30" w:rsidRDefault="00686D30" w:rsidP="00267C36"/>
    <w:p w14:paraId="370E3729" w14:textId="77777777" w:rsidR="00686D30" w:rsidRDefault="00686D30" w:rsidP="00267C36"/>
    <w:p w14:paraId="02B8A7CB" w14:textId="77777777" w:rsidR="00686D30" w:rsidRDefault="00686D30" w:rsidP="00267C36"/>
    <w:p w14:paraId="71408BA0" w14:textId="77777777" w:rsidR="00686D30" w:rsidRDefault="00686D30" w:rsidP="00267C36"/>
    <w:p w14:paraId="3C0162F1" w14:textId="77777777" w:rsidR="00686D30" w:rsidRDefault="00686D30" w:rsidP="00267C36"/>
    <w:p w14:paraId="0124D953" w14:textId="77777777" w:rsidR="00686D30" w:rsidRDefault="00686D30" w:rsidP="00267C36"/>
    <w:p w14:paraId="2D434531" w14:textId="77777777" w:rsidR="00686D30" w:rsidRDefault="00686D30" w:rsidP="00267C36"/>
    <w:p w14:paraId="3781B520" w14:textId="77777777" w:rsidR="0082405C" w:rsidRPr="0082405C" w:rsidRDefault="0082405C" w:rsidP="0082405C">
      <w:pPr>
        <w:rPr>
          <w:b/>
          <w:bCs/>
        </w:rPr>
      </w:pPr>
    </w:p>
    <w:sectPr w:rsidR="0082405C" w:rsidRPr="0082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0C05" w14:textId="77777777" w:rsidR="00AD7E96" w:rsidRDefault="00AD7E96" w:rsidP="00570A56">
      <w:pPr>
        <w:spacing w:after="0" w:line="240" w:lineRule="auto"/>
      </w:pPr>
      <w:r>
        <w:separator/>
      </w:r>
    </w:p>
  </w:endnote>
  <w:endnote w:type="continuationSeparator" w:id="0">
    <w:p w14:paraId="1F599E3A" w14:textId="77777777" w:rsidR="00AD7E96" w:rsidRDefault="00AD7E96" w:rsidP="0057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5A1C" w14:textId="77777777" w:rsidR="00AD7E96" w:rsidRDefault="00AD7E96" w:rsidP="00570A56">
      <w:pPr>
        <w:spacing w:after="0" w:line="240" w:lineRule="auto"/>
      </w:pPr>
      <w:r>
        <w:separator/>
      </w:r>
    </w:p>
  </w:footnote>
  <w:footnote w:type="continuationSeparator" w:id="0">
    <w:p w14:paraId="1AF57214" w14:textId="77777777" w:rsidR="00AD7E96" w:rsidRDefault="00AD7E96" w:rsidP="00570A56">
      <w:pPr>
        <w:spacing w:after="0" w:line="240" w:lineRule="auto"/>
      </w:pPr>
      <w:r>
        <w:continuationSeparator/>
      </w:r>
    </w:p>
  </w:footnote>
  <w:footnote w:id="1">
    <w:p w14:paraId="53ACFD99" w14:textId="52793C11" w:rsidR="00FB3AE4" w:rsidRDefault="00834D84">
      <w:pPr>
        <w:pStyle w:val="FootnoteText"/>
      </w:pPr>
      <w:r>
        <w:rPr>
          <w:rStyle w:val="FootnoteReference"/>
        </w:rPr>
        <w:footnoteRef/>
      </w:r>
      <w:bookmarkStart w:id="0" w:name="_Hlk97583015"/>
      <w:r w:rsidR="00BE2968" w:rsidRPr="00BE2968">
        <w:t xml:space="preserve"> Thomas</w:t>
      </w:r>
      <w:r w:rsidR="00086FC7">
        <w:t>, Winter, ‘</w:t>
      </w:r>
      <w:r w:rsidR="009E5CB8">
        <w:t>Victorian</w:t>
      </w:r>
      <w:r w:rsidR="00BE2968" w:rsidRPr="00BE2968">
        <w:t xml:space="preserve"> Era</w:t>
      </w:r>
      <w:r w:rsidR="00086FC7">
        <w:t>’,</w:t>
      </w:r>
      <w:r w:rsidR="00BE2968" w:rsidRPr="00BE2968">
        <w:t xml:space="preserve"> </w:t>
      </w:r>
      <w:r w:rsidR="00BE2968" w:rsidRPr="00BE2968">
        <w:rPr>
          <w:i/>
          <w:iCs/>
        </w:rPr>
        <w:t xml:space="preserve">American Masculinities: A Historical </w:t>
      </w:r>
      <w:proofErr w:type="spellStart"/>
      <w:r w:rsidR="00BE2968" w:rsidRPr="00BE2968">
        <w:rPr>
          <w:i/>
          <w:iCs/>
        </w:rPr>
        <w:t>Encyclopedia</w:t>
      </w:r>
      <w:proofErr w:type="spellEnd"/>
      <w:r w:rsidR="00BE2968" w:rsidRPr="00BE2968">
        <w:t xml:space="preserve">, </w:t>
      </w:r>
      <w:r w:rsidR="0054085D">
        <w:t xml:space="preserve">(2004), </w:t>
      </w:r>
      <w:r w:rsidR="00BE2968">
        <w:t xml:space="preserve">p. </w:t>
      </w:r>
      <w:proofErr w:type="gramStart"/>
      <w:r w:rsidR="00466D06">
        <w:t>473</w:t>
      </w:r>
      <w:r w:rsidR="002864C5" w:rsidRPr="00B47356">
        <w:t>;</w:t>
      </w:r>
      <w:proofErr w:type="gramEnd"/>
      <w:r w:rsidR="00B47356" w:rsidRPr="00B47356">
        <w:t xml:space="preserve"> </w:t>
      </w:r>
      <w:bookmarkStart w:id="1" w:name="_Hlk97581327"/>
    </w:p>
    <w:p w14:paraId="69E0256F" w14:textId="2FC9A1BA" w:rsidR="00834D84" w:rsidRPr="00466D06" w:rsidRDefault="0054085D">
      <w:pPr>
        <w:pStyle w:val="FootnoteText"/>
        <w:rPr>
          <w:b/>
          <w:bCs/>
        </w:rPr>
      </w:pPr>
      <w:r>
        <w:t>Peter</w:t>
      </w:r>
      <w:r w:rsidR="0047167F">
        <w:t xml:space="preserve">, James, </w:t>
      </w:r>
      <w:r w:rsidR="002864C5" w:rsidRPr="00B47356">
        <w:t>Marshall, ed</w:t>
      </w:r>
      <w:r w:rsidR="0047167F">
        <w:t>s</w:t>
      </w:r>
      <w:r w:rsidR="002864C5" w:rsidRPr="00B47356">
        <w:t xml:space="preserve">. </w:t>
      </w:r>
      <w:r w:rsidR="002864C5" w:rsidRPr="00B47356">
        <w:rPr>
          <w:i/>
          <w:iCs/>
        </w:rPr>
        <w:t xml:space="preserve">The Cambridge illustrated history of the British </w:t>
      </w:r>
      <w:r w:rsidR="001E4262">
        <w:rPr>
          <w:i/>
          <w:iCs/>
        </w:rPr>
        <w:t>Empire</w:t>
      </w:r>
      <w:r w:rsidR="002864C5" w:rsidRPr="00B47356">
        <w:t xml:space="preserve">. </w:t>
      </w:r>
      <w:r w:rsidR="0047167F">
        <w:t>(Cambridge</w:t>
      </w:r>
      <w:r w:rsidR="00014121">
        <w:t xml:space="preserve">: </w:t>
      </w:r>
      <w:r w:rsidR="002864C5" w:rsidRPr="00B47356">
        <w:t>Cambridge University Press, 2001</w:t>
      </w:r>
      <w:r w:rsidR="00014121">
        <w:t>),</w:t>
      </w:r>
      <w:r w:rsidR="002864C5" w:rsidRPr="00B47356">
        <w:t xml:space="preserve"> p.26</w:t>
      </w:r>
      <w:bookmarkEnd w:id="0"/>
      <w:bookmarkEnd w:id="1"/>
      <w:r w:rsidR="00014121">
        <w:t>.</w:t>
      </w:r>
    </w:p>
  </w:footnote>
  <w:footnote w:id="2">
    <w:p w14:paraId="64C6154F" w14:textId="29F67764" w:rsidR="000A55E7" w:rsidRPr="00FA2D09" w:rsidRDefault="000A55E7">
      <w:pPr>
        <w:pStyle w:val="FootnoteText"/>
      </w:pPr>
      <w:r>
        <w:rPr>
          <w:rStyle w:val="FootnoteReference"/>
        </w:rPr>
        <w:footnoteRef/>
      </w:r>
      <w:bookmarkStart w:id="2" w:name="_Hlk97815317"/>
      <w:r w:rsidR="005C7FEB">
        <w:t xml:space="preserve"> </w:t>
      </w:r>
      <w:r w:rsidR="00466D06" w:rsidRPr="000A55E7">
        <w:t>Amy</w:t>
      </w:r>
      <w:r w:rsidR="005C7FEB">
        <w:t>,</w:t>
      </w:r>
      <w:r w:rsidR="00466D06" w:rsidRPr="000A55E7">
        <w:t xml:space="preserve"> J</w:t>
      </w:r>
      <w:r w:rsidR="005C7FEB">
        <w:t>, Llyod,</w:t>
      </w:r>
      <w:r w:rsidR="00466D06" w:rsidRPr="000A55E7">
        <w:t xml:space="preserve"> </w:t>
      </w:r>
      <w:r w:rsidR="005C7FEB">
        <w:t>‘</w:t>
      </w:r>
      <w:r w:rsidR="00466D06" w:rsidRPr="000A55E7">
        <w:t xml:space="preserve">The British </w:t>
      </w:r>
      <w:r w:rsidR="001E4262">
        <w:t>Empire</w:t>
      </w:r>
      <w:r w:rsidR="005C7FEB">
        <w:t>’,</w:t>
      </w:r>
      <w:r w:rsidR="0007753A">
        <w:t xml:space="preserve"> </w:t>
      </w:r>
      <w:r w:rsidR="00466D06" w:rsidRPr="0007753A">
        <w:rPr>
          <w:i/>
          <w:iCs/>
        </w:rPr>
        <w:t>British Library Newspapers</w:t>
      </w:r>
      <w:r w:rsidR="0007753A">
        <w:t>, (</w:t>
      </w:r>
      <w:proofErr w:type="spellStart"/>
      <w:r w:rsidR="00214AE6">
        <w:t>Detriot</w:t>
      </w:r>
      <w:proofErr w:type="spellEnd"/>
      <w:r w:rsidR="00214AE6">
        <w:t xml:space="preserve">: Gale, </w:t>
      </w:r>
      <w:r w:rsidR="00466D06" w:rsidRPr="000A55E7">
        <w:t>2007</w:t>
      </w:r>
      <w:bookmarkEnd w:id="2"/>
      <w:r w:rsidR="0007753A">
        <w:t>)</w:t>
      </w:r>
      <w:r w:rsidR="00466D06" w:rsidRPr="000A55E7">
        <w:t>;</w:t>
      </w:r>
      <w:r w:rsidR="00214AE6">
        <w:t xml:space="preserve"> Marshall</w:t>
      </w:r>
      <w:r w:rsidR="00806BDF">
        <w:t xml:space="preserve">, </w:t>
      </w:r>
      <w:r w:rsidR="00806BDF" w:rsidRPr="00FA2D09">
        <w:rPr>
          <w:i/>
          <w:iCs/>
        </w:rPr>
        <w:t xml:space="preserve">The Cambridge illustrated history of the British </w:t>
      </w:r>
      <w:r w:rsidR="001E4262">
        <w:rPr>
          <w:i/>
          <w:iCs/>
        </w:rPr>
        <w:t>Empire</w:t>
      </w:r>
      <w:r w:rsidR="00FA2D09">
        <w:t>, p.325</w:t>
      </w:r>
      <w:r w:rsidR="00900A54">
        <w:t>.</w:t>
      </w:r>
    </w:p>
  </w:footnote>
  <w:footnote w:id="3">
    <w:p w14:paraId="16FCE361" w14:textId="3E09635A" w:rsidR="000A55E7" w:rsidRPr="00900A54" w:rsidRDefault="000A5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64BF">
        <w:t>Ginger, Suzanne, Frost</w:t>
      </w:r>
      <w:r w:rsidR="00F7419F">
        <w:t xml:space="preserve">, </w:t>
      </w:r>
      <w:r w:rsidR="009E5CB8">
        <w:rPr>
          <w:i/>
          <w:iCs/>
        </w:rPr>
        <w:t>Victorian</w:t>
      </w:r>
      <w:r w:rsidR="00F7419F" w:rsidRPr="00F7419F">
        <w:rPr>
          <w:i/>
          <w:iCs/>
        </w:rPr>
        <w:t xml:space="preserve"> Childhoods</w:t>
      </w:r>
      <w:r w:rsidR="00F7419F">
        <w:t>, (Dawson Books, 2009), p.118</w:t>
      </w:r>
      <w:r w:rsidR="00900A54">
        <w:t>.</w:t>
      </w:r>
    </w:p>
  </w:footnote>
  <w:footnote w:id="4">
    <w:p w14:paraId="206F8B4C" w14:textId="45A063D2" w:rsidR="00415BF0" w:rsidRDefault="00415BF0" w:rsidP="00415B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09D9">
        <w:t>Pramod</w:t>
      </w:r>
      <w:r w:rsidR="00900A54">
        <w:t>,</w:t>
      </w:r>
      <w:r w:rsidRPr="00C809D9">
        <w:t xml:space="preserve"> K</w:t>
      </w:r>
      <w:r w:rsidR="00900A54">
        <w:t xml:space="preserve">, </w:t>
      </w:r>
      <w:proofErr w:type="spellStart"/>
      <w:r w:rsidR="00900A54">
        <w:t>Nayar</w:t>
      </w:r>
      <w:proofErr w:type="spellEnd"/>
      <w:r w:rsidR="00900A54">
        <w:t>,</w:t>
      </w:r>
      <w:r w:rsidRPr="00C809D9">
        <w:t xml:space="preserve"> </w:t>
      </w:r>
      <w:r w:rsidRPr="00C809D9">
        <w:rPr>
          <w:i/>
          <w:iCs/>
        </w:rPr>
        <w:t xml:space="preserve">Colonial voices: the discourses of </w:t>
      </w:r>
      <w:r w:rsidR="001E4262">
        <w:rPr>
          <w:i/>
          <w:iCs/>
        </w:rPr>
        <w:t>Empire</w:t>
      </w:r>
      <w:r w:rsidR="00900A54">
        <w:rPr>
          <w:i/>
          <w:iCs/>
        </w:rPr>
        <w:t>,</w:t>
      </w:r>
      <w:r>
        <w:t xml:space="preserve"> (</w:t>
      </w:r>
      <w:r w:rsidRPr="00C809D9">
        <w:t>John Wiley &amp; Sons, 2012</w:t>
      </w:r>
      <w:r>
        <w:t>)</w:t>
      </w:r>
      <w:r w:rsidR="00900A54">
        <w:t xml:space="preserve">, </w:t>
      </w:r>
      <w:r>
        <w:t>p.2</w:t>
      </w:r>
      <w:r w:rsidR="00900A54">
        <w:t>.</w:t>
      </w:r>
    </w:p>
  </w:footnote>
  <w:footnote w:id="5">
    <w:p w14:paraId="09C029B6" w14:textId="65F13418" w:rsidR="00D440DF" w:rsidRDefault="00D440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312D9" w:rsidRPr="00E312D9">
        <w:t xml:space="preserve">Derek, Fraser, </w:t>
      </w:r>
      <w:bookmarkStart w:id="3" w:name="_Hlk97586496"/>
      <w:r w:rsidR="00E312D9" w:rsidRPr="00E312D9">
        <w:rPr>
          <w:i/>
          <w:iCs/>
        </w:rPr>
        <w:t>The Evolution of the British Welfare State</w:t>
      </w:r>
      <w:bookmarkEnd w:id="3"/>
      <w:r w:rsidR="00E312D9" w:rsidRPr="00E312D9">
        <w:t>, fifth edition, (London: Palgrave, 2017), p.</w:t>
      </w:r>
      <w:r w:rsidR="0085000E">
        <w:t>97.</w:t>
      </w:r>
    </w:p>
  </w:footnote>
  <w:footnote w:id="6">
    <w:p w14:paraId="38F0D8A0" w14:textId="6F665A21" w:rsidR="00530527" w:rsidRDefault="00530527">
      <w:pPr>
        <w:pStyle w:val="FootnoteText"/>
      </w:pPr>
      <w:r>
        <w:rPr>
          <w:rStyle w:val="FootnoteReference"/>
        </w:rPr>
        <w:footnoteRef/>
      </w:r>
      <w:r>
        <w:t xml:space="preserve"> Fraser, </w:t>
      </w:r>
      <w:r w:rsidRPr="00530527">
        <w:rPr>
          <w:i/>
          <w:iCs/>
        </w:rPr>
        <w:t>The Evolution of the British Welfare State</w:t>
      </w:r>
      <w:r>
        <w:rPr>
          <w:i/>
          <w:iCs/>
        </w:rPr>
        <w:t xml:space="preserve">, </w:t>
      </w:r>
      <w:r w:rsidRPr="00786F9E">
        <w:t>p.</w:t>
      </w:r>
      <w:r w:rsidR="00786F9E" w:rsidRPr="00786F9E">
        <w:t>98</w:t>
      </w:r>
      <w:r w:rsidR="00786F9E">
        <w:t>.</w:t>
      </w:r>
    </w:p>
  </w:footnote>
  <w:footnote w:id="7">
    <w:p w14:paraId="73D91B5A" w14:textId="1F85075A" w:rsidR="00C7512C" w:rsidRDefault="00C7512C" w:rsidP="00C75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57C29">
        <w:t xml:space="preserve">Bernard, </w:t>
      </w:r>
      <w:r w:rsidRPr="00FD4B5F">
        <w:t xml:space="preserve">Harris, </w:t>
      </w:r>
      <w:r w:rsidRPr="00FD4B5F">
        <w:rPr>
          <w:i/>
          <w:iCs/>
        </w:rPr>
        <w:t>The origins of the British welfare state: society, state and social welfare in England and Wales, 1800-1945</w:t>
      </w:r>
      <w:r w:rsidR="00E57C29">
        <w:t>, (</w:t>
      </w:r>
      <w:r w:rsidRPr="00FD4B5F">
        <w:t>Macmillan International Higher Education</w:t>
      </w:r>
      <w:r w:rsidR="00FE78F9">
        <w:t>, 2018), p</w:t>
      </w:r>
      <w:r>
        <w:t>.147</w:t>
      </w:r>
      <w:r w:rsidR="00FE78F9">
        <w:t>.</w:t>
      </w:r>
    </w:p>
  </w:footnote>
  <w:footnote w:id="8">
    <w:p w14:paraId="65768E4A" w14:textId="0A4F590E" w:rsidR="00C7512C" w:rsidRDefault="00C7512C">
      <w:pPr>
        <w:pStyle w:val="FootnoteText"/>
      </w:pPr>
      <w:r>
        <w:rPr>
          <w:rStyle w:val="FootnoteReference"/>
        </w:rPr>
        <w:footnoteRef/>
      </w:r>
      <w:r w:rsidR="00C702C2" w:rsidRPr="00C702C2">
        <w:t xml:space="preserve"> William</w:t>
      </w:r>
      <w:r w:rsidR="00D86CFD">
        <w:t>,</w:t>
      </w:r>
      <w:r w:rsidR="00C702C2" w:rsidRPr="00C702C2">
        <w:t xml:space="preserve"> Brewe</w:t>
      </w:r>
      <w:r w:rsidR="00D86CFD">
        <w:t>r, Stephens,</w:t>
      </w:r>
      <w:r w:rsidR="00C702C2" w:rsidRPr="00C702C2">
        <w:t xml:space="preserve"> </w:t>
      </w:r>
      <w:r w:rsidR="00C702C2" w:rsidRPr="00C702C2">
        <w:rPr>
          <w:i/>
          <w:iCs/>
        </w:rPr>
        <w:t xml:space="preserve">Education in </w:t>
      </w:r>
      <w:r w:rsidR="009E5CB8">
        <w:rPr>
          <w:i/>
          <w:iCs/>
        </w:rPr>
        <w:t>Britain</w:t>
      </w:r>
      <w:r w:rsidR="00C702C2" w:rsidRPr="00C702C2">
        <w:rPr>
          <w:i/>
          <w:iCs/>
        </w:rPr>
        <w:t>, 1750–1914</w:t>
      </w:r>
      <w:r w:rsidR="00D86CFD">
        <w:t>, (</w:t>
      </w:r>
      <w:r w:rsidR="00C702C2" w:rsidRPr="00C702C2">
        <w:t>Macmillan International Higher Education, 1999</w:t>
      </w:r>
      <w:r w:rsidR="00D86CFD">
        <w:t>), p</w:t>
      </w:r>
      <w:r w:rsidR="00C702C2">
        <w:t>.15</w:t>
      </w:r>
      <w:r w:rsidR="00D86CFD">
        <w:t>.</w:t>
      </w:r>
    </w:p>
  </w:footnote>
  <w:footnote w:id="9">
    <w:p w14:paraId="66AEB498" w14:textId="765A393E" w:rsidR="007A2BC2" w:rsidRDefault="007A2BC2" w:rsidP="007A2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52F6">
        <w:t xml:space="preserve">Walter, </w:t>
      </w:r>
      <w:r w:rsidRPr="00C32EAC">
        <w:t>Armytage</w:t>
      </w:r>
      <w:r>
        <w:t>,</w:t>
      </w:r>
      <w:r w:rsidRPr="00C32EAC">
        <w:t xml:space="preserve"> </w:t>
      </w:r>
      <w:r>
        <w:t>‘</w:t>
      </w:r>
      <w:r w:rsidRPr="00C32EAC">
        <w:t xml:space="preserve">The 1870 </w:t>
      </w:r>
      <w:r w:rsidR="009E5CB8">
        <w:t>Education Act</w:t>
      </w:r>
      <w:r>
        <w:t xml:space="preserve">’, </w:t>
      </w:r>
      <w:r w:rsidR="00916A48" w:rsidRPr="00916A48">
        <w:rPr>
          <w:i/>
          <w:iCs/>
        </w:rPr>
        <w:t>British Journal of Educational Studies</w:t>
      </w:r>
      <w:r w:rsidR="00916A48">
        <w:t xml:space="preserve">, </w:t>
      </w:r>
      <w:r w:rsidR="00916A48" w:rsidRPr="00916A48">
        <w:t>18, no. 2</w:t>
      </w:r>
      <w:r w:rsidR="00916A48">
        <w:t xml:space="preserve">, </w:t>
      </w:r>
      <w:r w:rsidR="00916A48" w:rsidRPr="00916A48">
        <w:t>(1970)</w:t>
      </w:r>
      <w:r w:rsidR="00916A48">
        <w:t>, p.128.</w:t>
      </w:r>
    </w:p>
  </w:footnote>
  <w:footnote w:id="10">
    <w:p w14:paraId="57531D8F" w14:textId="5BCCDF5F" w:rsidR="007A2BC2" w:rsidRDefault="007A2BC2" w:rsidP="007A2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55417305"/>
      <w:r w:rsidRPr="00A06A6A">
        <w:t>Trygve</w:t>
      </w:r>
      <w:r w:rsidR="007B2162">
        <w:t xml:space="preserve">, </w:t>
      </w:r>
      <w:proofErr w:type="spellStart"/>
      <w:r w:rsidR="007B2162">
        <w:t>Tholfsen</w:t>
      </w:r>
      <w:proofErr w:type="spellEnd"/>
      <w:r w:rsidR="007B2162">
        <w:t>,</w:t>
      </w:r>
      <w:r w:rsidRPr="00A06A6A">
        <w:t xml:space="preserve"> </w:t>
      </w:r>
      <w:r>
        <w:t>‘</w:t>
      </w:r>
      <w:r w:rsidRPr="00A06A6A">
        <w:t xml:space="preserve">Moral Education in the </w:t>
      </w:r>
      <w:r w:rsidR="009E5CB8">
        <w:t>Victorian</w:t>
      </w:r>
      <w:r w:rsidRPr="00A06A6A">
        <w:t xml:space="preserve"> Sunday School</w:t>
      </w:r>
      <w:r>
        <w:t>’,</w:t>
      </w:r>
      <w:r w:rsidRPr="00A06A6A">
        <w:t xml:space="preserve"> </w:t>
      </w:r>
      <w:r w:rsidRPr="00A06A6A">
        <w:rPr>
          <w:i/>
          <w:iCs/>
        </w:rPr>
        <w:t>History of Education Quarterly</w:t>
      </w:r>
      <w:r w:rsidR="007B2162">
        <w:t xml:space="preserve">, </w:t>
      </w:r>
      <w:r w:rsidRPr="00A06A6A">
        <w:t>20</w:t>
      </w:r>
      <w:r w:rsidR="007B2162">
        <w:t xml:space="preserve">, </w:t>
      </w:r>
      <w:r>
        <w:t>(1980)</w:t>
      </w:r>
      <w:bookmarkEnd w:id="4"/>
      <w:r w:rsidR="007B2162">
        <w:t>,</w:t>
      </w:r>
      <w:r>
        <w:t xml:space="preserve"> p.78</w:t>
      </w:r>
      <w:r w:rsidR="007B2162">
        <w:t>.</w:t>
      </w:r>
      <w:r>
        <w:t xml:space="preserve"> </w:t>
      </w:r>
    </w:p>
  </w:footnote>
  <w:footnote w:id="11">
    <w:p w14:paraId="2AA1D7D5" w14:textId="1CD257F3" w:rsidR="007A2BC2" w:rsidRDefault="007A2BC2" w:rsidP="007A2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" w:name="_Hlk55417354"/>
      <w:r w:rsidR="00E31E82">
        <w:t xml:space="preserve">John, </w:t>
      </w:r>
      <w:r w:rsidRPr="001F2409">
        <w:t>Burnett</w:t>
      </w:r>
      <w:r w:rsidR="00E31E82">
        <w:t xml:space="preserve">, </w:t>
      </w:r>
      <w:r w:rsidRPr="006F0DDE">
        <w:rPr>
          <w:i/>
          <w:iCs/>
        </w:rPr>
        <w:t xml:space="preserve">Destiny </w:t>
      </w:r>
      <w:proofErr w:type="gramStart"/>
      <w:r w:rsidRPr="006F0DDE">
        <w:rPr>
          <w:i/>
          <w:iCs/>
        </w:rPr>
        <w:t>Obscure :</w:t>
      </w:r>
      <w:proofErr w:type="gramEnd"/>
      <w:r w:rsidRPr="006F0DDE">
        <w:rPr>
          <w:i/>
          <w:iCs/>
        </w:rPr>
        <w:t xml:space="preserve"> Autobiographies of Childhood, Education and Family from the 1820s to The 1920s</w:t>
      </w:r>
      <w:r w:rsidR="00E31E82">
        <w:rPr>
          <w:i/>
          <w:iCs/>
        </w:rPr>
        <w:t>,</w:t>
      </w:r>
      <w:r w:rsidRPr="006F0DDE">
        <w:t xml:space="preserve"> </w:t>
      </w:r>
      <w:r>
        <w:t>(</w:t>
      </w:r>
      <w:r w:rsidRPr="001F2409">
        <w:t>London: Taylor &amp; Francis Group</w:t>
      </w:r>
      <w:r>
        <w:t>, 1982)</w:t>
      </w:r>
      <w:bookmarkEnd w:id="5"/>
      <w:r w:rsidR="00E31E82">
        <w:t xml:space="preserve">, </w:t>
      </w:r>
      <w:r>
        <w:t>p.328</w:t>
      </w:r>
      <w:r w:rsidR="00E31E82">
        <w:t>.</w:t>
      </w:r>
    </w:p>
  </w:footnote>
  <w:footnote w:id="12">
    <w:p w14:paraId="0E107FD4" w14:textId="60D5770E" w:rsidR="002552AE" w:rsidRDefault="002552AE" w:rsidP="002552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Tholfsen</w:t>
      </w:r>
      <w:proofErr w:type="spellEnd"/>
      <w:r>
        <w:t>, ‘Moral Education’, p.78</w:t>
      </w:r>
      <w:r w:rsidR="00446975">
        <w:t>.</w:t>
      </w:r>
    </w:p>
  </w:footnote>
  <w:footnote w:id="13">
    <w:p w14:paraId="69C5EC2E" w14:textId="7F032D96" w:rsidR="00757CA6" w:rsidRDefault="00757C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A304F1" w:rsidRPr="00A304F1">
        <w:t>Tholfsen</w:t>
      </w:r>
      <w:proofErr w:type="spellEnd"/>
      <w:r w:rsidR="00A304F1" w:rsidRPr="00A304F1">
        <w:t>, ‘Moral Education’, p.</w:t>
      </w:r>
      <w:r w:rsidR="00A304F1">
        <w:t>94.</w:t>
      </w:r>
    </w:p>
  </w:footnote>
  <w:footnote w:id="14">
    <w:p w14:paraId="6CF71E18" w14:textId="596FE18D" w:rsidR="00876E69" w:rsidRDefault="00876E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D7FCF">
        <w:t>Fraser</w:t>
      </w:r>
      <w:r w:rsidR="00446975">
        <w:t>,</w:t>
      </w:r>
      <w:r w:rsidR="00446975">
        <w:rPr>
          <w:i/>
          <w:iCs/>
          <w:sz w:val="22"/>
          <w:szCs w:val="22"/>
        </w:rPr>
        <w:t xml:space="preserve"> </w:t>
      </w:r>
      <w:r w:rsidR="00446975" w:rsidRPr="00446975">
        <w:rPr>
          <w:i/>
          <w:iCs/>
        </w:rPr>
        <w:t>The Evolution of the British Welfare State</w:t>
      </w:r>
      <w:r w:rsidR="00446975">
        <w:t xml:space="preserve">, </w:t>
      </w:r>
      <w:r w:rsidR="005D7FCF">
        <w:t>p.90</w:t>
      </w:r>
      <w:r w:rsidR="00446975">
        <w:t>.</w:t>
      </w:r>
    </w:p>
  </w:footnote>
  <w:footnote w:id="15">
    <w:p w14:paraId="09B620A1" w14:textId="32E67300" w:rsidR="00F82C8F" w:rsidRDefault="00F82C8F" w:rsidP="00F82C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0DDE">
        <w:t xml:space="preserve">Frost, </w:t>
      </w:r>
      <w:r w:rsidR="009E5CB8">
        <w:rPr>
          <w:i/>
          <w:iCs/>
        </w:rPr>
        <w:t>Victorian</w:t>
      </w:r>
      <w:r w:rsidRPr="006F0DDE">
        <w:rPr>
          <w:i/>
          <w:iCs/>
        </w:rPr>
        <w:t xml:space="preserve"> Childhoods, </w:t>
      </w:r>
      <w:r w:rsidRPr="006F0DDE">
        <w:t>p.</w:t>
      </w:r>
      <w:r>
        <w:t>109</w:t>
      </w:r>
      <w:r w:rsidR="00446975">
        <w:t>.</w:t>
      </w:r>
    </w:p>
  </w:footnote>
  <w:footnote w:id="16">
    <w:p w14:paraId="5AF7929B" w14:textId="3CD13631" w:rsidR="007A2BC2" w:rsidRDefault="007A2BC2" w:rsidP="007A2B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94E" w:rsidRPr="001E494E">
        <w:t>Joan</w:t>
      </w:r>
      <w:r w:rsidR="001E494E">
        <w:t>, Bur</w:t>
      </w:r>
      <w:r w:rsidR="00561D97">
        <w:t>styn,</w:t>
      </w:r>
      <w:r w:rsidR="001E494E" w:rsidRPr="001E494E">
        <w:t xml:space="preserve"> </w:t>
      </w:r>
      <w:r w:rsidR="009E5CB8">
        <w:rPr>
          <w:i/>
          <w:iCs/>
        </w:rPr>
        <w:t>Victorian</w:t>
      </w:r>
      <w:r w:rsidR="001E494E" w:rsidRPr="001E494E">
        <w:rPr>
          <w:i/>
          <w:iCs/>
        </w:rPr>
        <w:t xml:space="preserve"> education and the ideal of womanhood</w:t>
      </w:r>
      <w:r w:rsidR="00561D97">
        <w:t xml:space="preserve">, (London: </w:t>
      </w:r>
      <w:r w:rsidR="001E494E" w:rsidRPr="001E494E">
        <w:t>Routledge, 2016</w:t>
      </w:r>
      <w:r w:rsidR="00561D97">
        <w:t>), p.1.</w:t>
      </w:r>
    </w:p>
  </w:footnote>
  <w:footnote w:id="17">
    <w:p w14:paraId="38269979" w14:textId="719D4455" w:rsidR="000F4FFF" w:rsidRPr="00F61DB3" w:rsidRDefault="000F4FFF" w:rsidP="000F4FFF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="00C729C3">
        <w:t xml:space="preserve">Jane, </w:t>
      </w:r>
      <w:r w:rsidRPr="009976EA">
        <w:t xml:space="preserve">McDermid, </w:t>
      </w:r>
      <w:r w:rsidRPr="009976EA">
        <w:rPr>
          <w:i/>
          <w:iCs/>
        </w:rPr>
        <w:t xml:space="preserve">The schooling of working-class girls in </w:t>
      </w:r>
      <w:r w:rsidR="009E5CB8">
        <w:rPr>
          <w:i/>
          <w:iCs/>
        </w:rPr>
        <w:t>Victorian</w:t>
      </w:r>
      <w:r w:rsidRPr="009976EA">
        <w:rPr>
          <w:i/>
          <w:iCs/>
        </w:rPr>
        <w:t xml:space="preserve"> Scotland: gender, </w:t>
      </w:r>
      <w:proofErr w:type="gramStart"/>
      <w:r w:rsidRPr="009976EA">
        <w:rPr>
          <w:i/>
          <w:iCs/>
        </w:rPr>
        <w:t>education</w:t>
      </w:r>
      <w:proofErr w:type="gramEnd"/>
      <w:r w:rsidRPr="009976EA">
        <w:rPr>
          <w:i/>
          <w:iCs/>
        </w:rPr>
        <w:t xml:space="preserve"> and identity</w:t>
      </w:r>
      <w:r w:rsidR="00C729C3">
        <w:t>,</w:t>
      </w:r>
      <w:r>
        <w:t xml:space="preserve"> (London: </w:t>
      </w:r>
      <w:r w:rsidRPr="009976EA">
        <w:t>Routledge, 2013</w:t>
      </w:r>
      <w:r>
        <w:t>)</w:t>
      </w:r>
      <w:r w:rsidR="00C729C3">
        <w:t>,</w:t>
      </w:r>
      <w:r w:rsidRPr="009976EA">
        <w:t xml:space="preserve"> </w:t>
      </w:r>
      <w:r>
        <w:t>p</w:t>
      </w:r>
      <w:r w:rsidRPr="009976EA">
        <w:t>.11</w:t>
      </w:r>
      <w:r w:rsidR="00C729C3">
        <w:t>.</w:t>
      </w:r>
    </w:p>
  </w:footnote>
  <w:footnote w:id="18">
    <w:p w14:paraId="5C81CAD4" w14:textId="4DF5A91B" w:rsidR="000F4FFF" w:rsidRDefault="000F4FFF" w:rsidP="000F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2AB8">
        <w:t xml:space="preserve">Michael, </w:t>
      </w:r>
      <w:r w:rsidR="00082AB8" w:rsidRPr="00082AB8">
        <w:t xml:space="preserve">Childs, </w:t>
      </w:r>
      <w:r w:rsidR="00082AB8" w:rsidRPr="00082AB8">
        <w:rPr>
          <w:i/>
          <w:iCs/>
        </w:rPr>
        <w:t xml:space="preserve">Labour's apprentices: working-class lads in late </w:t>
      </w:r>
      <w:r w:rsidR="009E5CB8">
        <w:rPr>
          <w:i/>
          <w:iCs/>
        </w:rPr>
        <w:t>Victorian</w:t>
      </w:r>
      <w:r w:rsidR="00082AB8" w:rsidRPr="00082AB8">
        <w:rPr>
          <w:i/>
          <w:iCs/>
        </w:rPr>
        <w:t xml:space="preserve"> and Edwardian England</w:t>
      </w:r>
      <w:r w:rsidR="00082AB8">
        <w:t xml:space="preserve">, </w:t>
      </w:r>
      <w:r w:rsidR="00082AB8" w:rsidRPr="00082AB8">
        <w:t>(</w:t>
      </w:r>
      <w:r w:rsidR="00B46221">
        <w:t xml:space="preserve">Montreal: </w:t>
      </w:r>
      <w:r w:rsidR="00082AB8" w:rsidRPr="00082AB8">
        <w:t>McGill Queen's Press, 1992)</w:t>
      </w:r>
      <w:r w:rsidR="00082AB8">
        <w:t xml:space="preserve">, </w:t>
      </w:r>
      <w:r w:rsidR="00082AB8" w:rsidRPr="00082AB8">
        <w:t>p.6</w:t>
      </w:r>
      <w:r w:rsidR="00082AB8">
        <w:t>.</w:t>
      </w:r>
    </w:p>
  </w:footnote>
  <w:footnote w:id="19">
    <w:p w14:paraId="047CD191" w14:textId="1D1BAF63" w:rsidR="00267C36" w:rsidRDefault="00267C36" w:rsidP="00267C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6" w:name="_Hlk55416337"/>
      <w:r w:rsidR="00CD25D1">
        <w:t xml:space="preserve">Sally, </w:t>
      </w:r>
      <w:r w:rsidR="00F00B6E" w:rsidRPr="00F00B6E">
        <w:t>Mitchell,</w:t>
      </w:r>
      <w:r w:rsidR="00CD25D1">
        <w:t xml:space="preserve"> </w:t>
      </w:r>
      <w:r w:rsidR="009E5CB8">
        <w:rPr>
          <w:i/>
          <w:iCs/>
        </w:rPr>
        <w:t>Victorian</w:t>
      </w:r>
      <w:r w:rsidR="00F00B6E" w:rsidRPr="00F00B6E">
        <w:rPr>
          <w:i/>
          <w:iCs/>
        </w:rPr>
        <w:t xml:space="preserve"> </w:t>
      </w:r>
      <w:r w:rsidR="009E5CB8">
        <w:rPr>
          <w:i/>
          <w:iCs/>
        </w:rPr>
        <w:t>Britain</w:t>
      </w:r>
      <w:r w:rsidR="00F00B6E" w:rsidRPr="00F00B6E">
        <w:rPr>
          <w:i/>
          <w:iCs/>
        </w:rPr>
        <w:t xml:space="preserve">: An </w:t>
      </w:r>
      <w:proofErr w:type="spellStart"/>
      <w:r w:rsidR="00F00B6E" w:rsidRPr="00F00B6E">
        <w:rPr>
          <w:i/>
          <w:iCs/>
        </w:rPr>
        <w:t>Encyclopedia</w:t>
      </w:r>
      <w:proofErr w:type="spellEnd"/>
      <w:r w:rsidR="00CD25D1">
        <w:rPr>
          <w:i/>
          <w:iCs/>
        </w:rPr>
        <w:t>,</w:t>
      </w:r>
      <w:r w:rsidR="00F00B6E" w:rsidRPr="00F00B6E">
        <w:t xml:space="preserve"> (London: Routledge, 1988)</w:t>
      </w:r>
      <w:r w:rsidR="00DD5977">
        <w:t xml:space="preserve">, </w:t>
      </w:r>
      <w:r w:rsidR="00F00B6E" w:rsidRPr="00F00B6E">
        <w:t>p.241</w:t>
      </w:r>
      <w:r w:rsidR="00D51A23">
        <w:t xml:space="preserve">; </w:t>
      </w:r>
      <w:r>
        <w:t xml:space="preserve">Frost, </w:t>
      </w:r>
      <w:r w:rsidR="009E5CB8">
        <w:rPr>
          <w:i/>
          <w:iCs/>
        </w:rPr>
        <w:t>Victorian</w:t>
      </w:r>
      <w:r w:rsidRPr="00111A56">
        <w:rPr>
          <w:i/>
          <w:iCs/>
        </w:rPr>
        <w:t xml:space="preserve"> Childhoods</w:t>
      </w:r>
      <w:r>
        <w:rPr>
          <w:i/>
          <w:iCs/>
        </w:rPr>
        <w:t xml:space="preserve">, </w:t>
      </w:r>
      <w:r w:rsidRPr="00111A56">
        <w:t>p.34</w:t>
      </w:r>
      <w:r w:rsidR="00D13501">
        <w:t>.</w:t>
      </w:r>
    </w:p>
    <w:bookmarkEnd w:id="6"/>
  </w:footnote>
  <w:footnote w:id="20">
    <w:p w14:paraId="4579E44D" w14:textId="1BD533F0" w:rsidR="00674FCC" w:rsidRPr="00F61DB3" w:rsidRDefault="00674FCC" w:rsidP="00674FCC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9976EA">
        <w:t>McDermid,</w:t>
      </w:r>
      <w:r w:rsidR="0033391A">
        <w:t xml:space="preserve"> </w:t>
      </w:r>
      <w:r w:rsidRPr="009976EA">
        <w:rPr>
          <w:i/>
          <w:iCs/>
        </w:rPr>
        <w:t>The schooling of working-class girls</w:t>
      </w:r>
      <w:r w:rsidR="0033391A">
        <w:t xml:space="preserve">, </w:t>
      </w:r>
      <w:r>
        <w:t>p</w:t>
      </w:r>
      <w:r w:rsidRPr="009976EA">
        <w:t>.11</w:t>
      </w:r>
      <w:r w:rsidR="0033391A">
        <w:t>.</w:t>
      </w:r>
    </w:p>
  </w:footnote>
  <w:footnote w:id="21">
    <w:p w14:paraId="1E07F053" w14:textId="0092BAB2" w:rsidR="00686D30" w:rsidRDefault="00686D30" w:rsidP="00686D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7" w:name="_Hlk55413296"/>
      <w:r w:rsidR="008E1ED8" w:rsidRPr="008E1ED8">
        <w:t>Bernard</w:t>
      </w:r>
      <w:r w:rsidR="008E1ED8">
        <w:t xml:space="preserve">, Porter, </w:t>
      </w:r>
      <w:r w:rsidR="008E1ED8" w:rsidRPr="008E1ED8">
        <w:rPr>
          <w:i/>
          <w:iCs/>
        </w:rPr>
        <w:t xml:space="preserve">The absent-minded imperialists: </w:t>
      </w:r>
      <w:r w:rsidR="001E4262">
        <w:rPr>
          <w:i/>
          <w:iCs/>
        </w:rPr>
        <w:t>Empire</w:t>
      </w:r>
      <w:r w:rsidR="008E1ED8" w:rsidRPr="008E1ED8">
        <w:rPr>
          <w:i/>
          <w:iCs/>
        </w:rPr>
        <w:t xml:space="preserve">, society, and culture in </w:t>
      </w:r>
      <w:r w:rsidR="009E5CB8">
        <w:rPr>
          <w:i/>
          <w:iCs/>
        </w:rPr>
        <w:t>Britain</w:t>
      </w:r>
      <w:r w:rsidR="008E1ED8">
        <w:t>, (</w:t>
      </w:r>
      <w:r w:rsidR="008E1ED8" w:rsidRPr="008E1ED8">
        <w:t>Oxford</w:t>
      </w:r>
      <w:r w:rsidR="008E1ED8">
        <w:t>: Oxford University Press,</w:t>
      </w:r>
      <w:r w:rsidR="008E1ED8" w:rsidRPr="008E1ED8">
        <w:t xml:space="preserve"> 2004</w:t>
      </w:r>
      <w:r w:rsidR="008E1ED8">
        <w:t xml:space="preserve">), </w:t>
      </w:r>
      <w:r w:rsidRPr="00C0072D">
        <w:t>p.65</w:t>
      </w:r>
      <w:bookmarkEnd w:id="7"/>
      <w:r w:rsidR="008E1ED8">
        <w:t>.</w:t>
      </w:r>
    </w:p>
  </w:footnote>
  <w:footnote w:id="22">
    <w:p w14:paraId="5AEBC1DC" w14:textId="5C1E442D" w:rsidR="00437D83" w:rsidRPr="00C0072D" w:rsidRDefault="00437D83" w:rsidP="00437D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E1ED8">
        <w:t xml:space="preserve">Porter, </w:t>
      </w:r>
      <w:r w:rsidR="008E1ED8" w:rsidRPr="008E1ED8">
        <w:rPr>
          <w:i/>
          <w:iCs/>
        </w:rPr>
        <w:t>The absent-minded imperialists</w:t>
      </w:r>
      <w:r w:rsidR="008E1ED8">
        <w:t>,</w:t>
      </w:r>
      <w:r w:rsidRPr="00C0072D">
        <w:t xml:space="preserve"> p.6</w:t>
      </w:r>
      <w:r>
        <w:t>7</w:t>
      </w:r>
      <w:r w:rsidR="008E1ED8">
        <w:t>.</w:t>
      </w:r>
    </w:p>
  </w:footnote>
  <w:footnote w:id="23">
    <w:p w14:paraId="690A7C45" w14:textId="261D9FF3" w:rsidR="00C375A6" w:rsidRPr="00C0072D" w:rsidRDefault="00C375A6" w:rsidP="00C375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072D">
        <w:t>Ibid</w:t>
      </w:r>
      <w:r w:rsidR="008E1ED8">
        <w:t>,</w:t>
      </w:r>
      <w:r w:rsidRPr="00C0072D">
        <w:t xml:space="preserve"> p.67</w:t>
      </w:r>
      <w:r w:rsidR="008E1ED8">
        <w:t>.</w:t>
      </w:r>
    </w:p>
  </w:footnote>
  <w:footnote w:id="24">
    <w:p w14:paraId="78150FF8" w14:textId="55B5AF96" w:rsidR="00D74BC5" w:rsidRDefault="00D74BC5" w:rsidP="00D74B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8" w:name="_Hlk55417382"/>
      <w:r w:rsidR="00D1124A" w:rsidRPr="00D1124A">
        <w:t xml:space="preserve">McDermid, </w:t>
      </w:r>
      <w:r w:rsidR="00D1124A" w:rsidRPr="00D1124A">
        <w:rPr>
          <w:i/>
          <w:iCs/>
        </w:rPr>
        <w:t xml:space="preserve">The schooling of working-class girls, </w:t>
      </w:r>
      <w:r w:rsidR="00D1124A" w:rsidRPr="00D1124A">
        <w:t>p.1</w:t>
      </w:r>
      <w:r w:rsidR="00D1124A">
        <w:t xml:space="preserve">; </w:t>
      </w:r>
      <w:r>
        <w:t>Carol</w:t>
      </w:r>
      <w:r w:rsidR="00367692">
        <w:t xml:space="preserve">, </w:t>
      </w:r>
      <w:proofErr w:type="spellStart"/>
      <w:r w:rsidR="00367692">
        <w:t>Dyhouse</w:t>
      </w:r>
      <w:proofErr w:type="spellEnd"/>
      <w:r w:rsidR="00367692">
        <w:t xml:space="preserve">, </w:t>
      </w:r>
      <w:r>
        <w:t>‘Towards a “feminine” curriculum for English schoolgirls: The demands of ideology 1870-1963’</w:t>
      </w:r>
      <w:r w:rsidR="000030E5">
        <w:t xml:space="preserve">, </w:t>
      </w:r>
      <w:r w:rsidRPr="00A05FC8">
        <w:rPr>
          <w:i/>
          <w:iCs/>
        </w:rPr>
        <w:t>Women’s Studies Int</w:t>
      </w:r>
      <w:r w:rsidR="000030E5">
        <w:rPr>
          <w:i/>
          <w:iCs/>
        </w:rPr>
        <w:t>ernational</w:t>
      </w:r>
      <w:r w:rsidR="000030E5">
        <w:t>,</w:t>
      </w:r>
      <w:r>
        <w:t xml:space="preserve"> 1</w:t>
      </w:r>
      <w:r w:rsidR="000030E5">
        <w:t>,</w:t>
      </w:r>
      <w:r>
        <w:t xml:space="preserve"> (1978)</w:t>
      </w:r>
      <w:bookmarkEnd w:id="8"/>
      <w:r w:rsidR="000030E5">
        <w:t xml:space="preserve">, </w:t>
      </w:r>
      <w:r>
        <w:t>p.297</w:t>
      </w:r>
      <w:r w:rsidR="000030E5">
        <w:t>.</w:t>
      </w:r>
    </w:p>
  </w:footnote>
  <w:footnote w:id="25">
    <w:p w14:paraId="5B128E16" w14:textId="6ADED91F" w:rsidR="00D74BC5" w:rsidRDefault="00D74BC5" w:rsidP="00D74BC5">
      <w:pPr>
        <w:pStyle w:val="FootnoteText"/>
      </w:pPr>
      <w:r>
        <w:rPr>
          <w:rStyle w:val="FootnoteReference"/>
        </w:rPr>
        <w:footnoteRef/>
      </w:r>
      <w:r>
        <w:t xml:space="preserve"> Mitchell, </w:t>
      </w:r>
      <w:r w:rsidR="009E5CB8">
        <w:rPr>
          <w:i/>
          <w:iCs/>
        </w:rPr>
        <w:t>Victorian</w:t>
      </w:r>
      <w:r w:rsidRPr="00A05FC8">
        <w:rPr>
          <w:i/>
          <w:iCs/>
        </w:rPr>
        <w:t xml:space="preserve"> </w:t>
      </w:r>
      <w:r w:rsidR="009E5CB8">
        <w:rPr>
          <w:i/>
          <w:iCs/>
        </w:rPr>
        <w:t>Britain</w:t>
      </w:r>
      <w:r>
        <w:t>, p.241</w:t>
      </w:r>
      <w:r w:rsidR="009C3CBD">
        <w:t>.</w:t>
      </w:r>
    </w:p>
  </w:footnote>
  <w:footnote w:id="26">
    <w:p w14:paraId="7688E6D6" w14:textId="78DA39EA" w:rsidR="00222D4F" w:rsidRDefault="00222D4F" w:rsidP="00222D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9" w:name="_Hlk55320324"/>
      <w:bookmarkStart w:id="10" w:name="_Hlk97897644"/>
      <w:r w:rsidRPr="00A17D74">
        <w:t xml:space="preserve">Childs, </w:t>
      </w:r>
      <w:r w:rsidRPr="00A17D74">
        <w:rPr>
          <w:i/>
          <w:iCs/>
        </w:rPr>
        <w:t>Labour's apprentices</w:t>
      </w:r>
      <w:bookmarkEnd w:id="9"/>
      <w:r w:rsidR="009C3CBD">
        <w:t>,</w:t>
      </w:r>
      <w:r>
        <w:t xml:space="preserve"> p.6</w:t>
      </w:r>
      <w:bookmarkEnd w:id="10"/>
      <w:r w:rsidR="009C3CBD">
        <w:t>.</w:t>
      </w:r>
    </w:p>
  </w:footnote>
  <w:footnote w:id="27">
    <w:p w14:paraId="7D0C8A83" w14:textId="154896FB" w:rsidR="00222D4F" w:rsidRPr="0031583D" w:rsidRDefault="00222D4F" w:rsidP="00222D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1" w:name="_Hlk55411741"/>
      <w:r w:rsidR="009C3CBD">
        <w:t xml:space="preserve">Jane, </w:t>
      </w:r>
      <w:r w:rsidRPr="0031583D">
        <w:t>Humphries</w:t>
      </w:r>
      <w:r w:rsidR="009C3CBD">
        <w:t xml:space="preserve">, </w:t>
      </w:r>
      <w:proofErr w:type="gramStart"/>
      <w:r w:rsidRPr="0031583D">
        <w:rPr>
          <w:i/>
          <w:iCs/>
        </w:rPr>
        <w:t>Childhood</w:t>
      </w:r>
      <w:proofErr w:type="gramEnd"/>
      <w:r w:rsidRPr="0031583D">
        <w:rPr>
          <w:i/>
          <w:iCs/>
        </w:rPr>
        <w:t xml:space="preserve"> and child labour in the British industrial revolution</w:t>
      </w:r>
      <w:r w:rsidR="009C3CBD">
        <w:rPr>
          <w:i/>
          <w:iCs/>
        </w:rPr>
        <w:t>,</w:t>
      </w:r>
      <w:r>
        <w:t xml:space="preserve"> (</w:t>
      </w:r>
      <w:r w:rsidRPr="0031583D">
        <w:t>Cambridge</w:t>
      </w:r>
      <w:r>
        <w:t xml:space="preserve">: Cambridge </w:t>
      </w:r>
      <w:r w:rsidRPr="0031583D">
        <w:t>University Press, 2010</w:t>
      </w:r>
      <w:r>
        <w:t>)</w:t>
      </w:r>
      <w:r w:rsidR="009C3CBD">
        <w:t>,</w:t>
      </w:r>
      <w:r>
        <w:t xml:space="preserve"> p.7</w:t>
      </w:r>
      <w:r w:rsidR="009C3CBD">
        <w:t>.</w:t>
      </w:r>
    </w:p>
    <w:bookmarkEnd w:id="11"/>
  </w:footnote>
  <w:footnote w:id="28">
    <w:p w14:paraId="3FCBFEE6" w14:textId="5F5F4725" w:rsidR="001C1844" w:rsidRDefault="00877E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C538E" w:rsidRPr="00BC538E">
        <w:t>Ronald</w:t>
      </w:r>
      <w:r w:rsidR="006344A5">
        <w:t>,</w:t>
      </w:r>
      <w:r w:rsidR="00BC538E" w:rsidRPr="00BC538E">
        <w:t xml:space="preserve"> </w:t>
      </w:r>
      <w:proofErr w:type="spellStart"/>
      <w:r w:rsidR="00676148">
        <w:t>Hyam</w:t>
      </w:r>
      <w:proofErr w:type="spellEnd"/>
      <w:r w:rsidR="00676148">
        <w:t xml:space="preserve">, </w:t>
      </w:r>
      <w:r w:rsidR="009E5CB8">
        <w:rPr>
          <w:i/>
          <w:iCs/>
        </w:rPr>
        <w:t>Britain</w:t>
      </w:r>
      <w:r w:rsidR="00BC538E" w:rsidRPr="00BC538E">
        <w:rPr>
          <w:i/>
          <w:iCs/>
        </w:rPr>
        <w:t xml:space="preserve">'s imperial century, 1815-1914: a study of </w:t>
      </w:r>
      <w:r w:rsidR="001E4262">
        <w:rPr>
          <w:i/>
          <w:iCs/>
        </w:rPr>
        <w:t>Empire</w:t>
      </w:r>
      <w:r w:rsidR="00BC538E" w:rsidRPr="00BC538E">
        <w:rPr>
          <w:i/>
          <w:iCs/>
        </w:rPr>
        <w:t xml:space="preserve"> and expansion</w:t>
      </w:r>
      <w:r w:rsidR="006344A5">
        <w:t>,</w:t>
      </w:r>
      <w:r w:rsidR="00BC538E" w:rsidRPr="00BC538E">
        <w:t xml:space="preserve"> </w:t>
      </w:r>
      <w:r w:rsidR="006344A5">
        <w:t>(</w:t>
      </w:r>
      <w:r w:rsidR="00BC538E" w:rsidRPr="00BC538E">
        <w:t>Springer, 2002</w:t>
      </w:r>
      <w:r w:rsidR="006344A5">
        <w:t>),</w:t>
      </w:r>
      <w:r w:rsidR="00BC538E">
        <w:t xml:space="preserve"> p.22</w:t>
      </w:r>
      <w:r w:rsidR="001C1844">
        <w:t xml:space="preserve">; David, </w:t>
      </w:r>
      <w:r w:rsidR="00963C14" w:rsidRPr="008B55D3">
        <w:t>Edgerton</w:t>
      </w:r>
      <w:r w:rsidR="001C1844">
        <w:t>,</w:t>
      </w:r>
      <w:r w:rsidR="00963C14" w:rsidRPr="008B55D3">
        <w:t xml:space="preserve"> </w:t>
      </w:r>
      <w:proofErr w:type="gramStart"/>
      <w:r w:rsidR="00963C14" w:rsidRPr="008B55D3">
        <w:rPr>
          <w:i/>
          <w:iCs/>
        </w:rPr>
        <w:t>The</w:t>
      </w:r>
      <w:proofErr w:type="gramEnd"/>
      <w:r w:rsidR="00963C14" w:rsidRPr="008B55D3">
        <w:rPr>
          <w:i/>
          <w:iCs/>
        </w:rPr>
        <w:t xml:space="preserve"> rise and fall of the British nation: A twentieth-century history</w:t>
      </w:r>
      <w:r w:rsidR="001C1844">
        <w:t>, (</w:t>
      </w:r>
      <w:r w:rsidR="00963C14" w:rsidRPr="008B55D3">
        <w:t>Penguin UK, 2018</w:t>
      </w:r>
      <w:r w:rsidR="001C1844">
        <w:t>).</w:t>
      </w:r>
    </w:p>
  </w:footnote>
  <w:footnote w:id="29">
    <w:p w14:paraId="4C9BC8F9" w14:textId="7283911B" w:rsidR="00047358" w:rsidRPr="00E73037" w:rsidRDefault="00047358" w:rsidP="00047358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9976EA">
        <w:t xml:space="preserve">Humphries, </w:t>
      </w:r>
      <w:r w:rsidRPr="009976EA">
        <w:rPr>
          <w:i/>
          <w:iCs/>
        </w:rPr>
        <w:t>Childhood and child labour</w:t>
      </w:r>
      <w:r w:rsidRPr="009976EA">
        <w:t>, p.</w:t>
      </w:r>
      <w:r>
        <w:t>7</w:t>
      </w:r>
      <w:r w:rsidR="00200463">
        <w:t>.</w:t>
      </w:r>
    </w:p>
  </w:footnote>
  <w:footnote w:id="30">
    <w:p w14:paraId="233D4502" w14:textId="5A17EC9A" w:rsidR="008D7579" w:rsidRDefault="008D7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0463">
        <w:t>Ibid, p</w:t>
      </w:r>
      <w:r w:rsidR="00A26328">
        <w:t>.5</w:t>
      </w:r>
      <w:r w:rsidR="00200463">
        <w:t>.</w:t>
      </w:r>
    </w:p>
  </w:footnote>
  <w:footnote w:id="31">
    <w:p w14:paraId="2F010D4B" w14:textId="4F54C952" w:rsidR="008B6AC0" w:rsidRDefault="008B6A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0463">
        <w:t xml:space="preserve">Nigel, </w:t>
      </w:r>
      <w:r w:rsidR="00C9279C" w:rsidRPr="00C9279C">
        <w:t>Middleton</w:t>
      </w:r>
      <w:r w:rsidR="00200463">
        <w:t>, ‘</w:t>
      </w:r>
      <w:r w:rsidR="00C9279C" w:rsidRPr="00C9279C">
        <w:t xml:space="preserve">The </w:t>
      </w:r>
      <w:r w:rsidR="009E5CB8">
        <w:t>Education Act</w:t>
      </w:r>
      <w:r w:rsidR="00C9279C" w:rsidRPr="00C9279C">
        <w:t xml:space="preserve"> of 1870 as the Start of the Modern Concept of the Child</w:t>
      </w:r>
      <w:r w:rsidR="00200463">
        <w:t>’,</w:t>
      </w:r>
      <w:r w:rsidR="00C9279C" w:rsidRPr="00C9279C">
        <w:t xml:space="preserve"> </w:t>
      </w:r>
      <w:r w:rsidR="00C9279C" w:rsidRPr="00C9279C">
        <w:rPr>
          <w:i/>
          <w:iCs/>
        </w:rPr>
        <w:t>British Journal of Educational Studies</w:t>
      </w:r>
      <w:r w:rsidR="00200463">
        <w:t xml:space="preserve">, </w:t>
      </w:r>
      <w:r w:rsidR="00C9279C" w:rsidRPr="00C9279C">
        <w:t>18, no. 2</w:t>
      </w:r>
      <w:r w:rsidR="00200463">
        <w:t xml:space="preserve">, </w:t>
      </w:r>
      <w:r w:rsidR="00C9279C" w:rsidRPr="00C9279C">
        <w:t>(1970)</w:t>
      </w:r>
      <w:r w:rsidR="00200463">
        <w:t xml:space="preserve">, </w:t>
      </w:r>
      <w:r w:rsidR="00C9279C">
        <w:t>p.174</w:t>
      </w:r>
      <w:r w:rsidR="00200463">
        <w:t>.</w:t>
      </w:r>
    </w:p>
  </w:footnote>
  <w:footnote w:id="32">
    <w:p w14:paraId="42FE5CD5" w14:textId="65E5EB90" w:rsidR="007E5EA8" w:rsidRPr="00CA70CE" w:rsidRDefault="007E5EA8" w:rsidP="007E5EA8">
      <w:pPr>
        <w:pStyle w:val="FootnoteText"/>
        <w:rPr>
          <w:b/>
          <w:bCs/>
        </w:rPr>
      </w:pPr>
      <w:r w:rsidRPr="00C0072D">
        <w:rPr>
          <w:rStyle w:val="FootnoteReference"/>
        </w:rPr>
        <w:footnoteRef/>
      </w:r>
      <w:r w:rsidRPr="00C0072D">
        <w:t xml:space="preserve"> </w:t>
      </w:r>
      <w:r w:rsidR="00880484">
        <w:t>Porter</w:t>
      </w:r>
      <w:r w:rsidR="009F188C">
        <w:t>,</w:t>
      </w:r>
      <w:r w:rsidR="009F188C">
        <w:rPr>
          <w:i/>
          <w:iCs/>
          <w:sz w:val="22"/>
          <w:szCs w:val="22"/>
        </w:rPr>
        <w:t xml:space="preserve"> </w:t>
      </w:r>
      <w:r w:rsidR="009F188C" w:rsidRPr="009F188C">
        <w:rPr>
          <w:i/>
          <w:iCs/>
        </w:rPr>
        <w:t>The absent-minded imperialists</w:t>
      </w:r>
      <w:r w:rsidR="009F188C">
        <w:t xml:space="preserve">, </w:t>
      </w:r>
      <w:r w:rsidRPr="00C0072D">
        <w:t>p.67</w:t>
      </w:r>
      <w:r w:rsidR="009F188C">
        <w:t>.</w:t>
      </w:r>
    </w:p>
  </w:footnote>
  <w:footnote w:id="33">
    <w:p w14:paraId="364C3B59" w14:textId="5E195AA3" w:rsidR="009B7A93" w:rsidRDefault="009B7A93" w:rsidP="009B7A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67BD">
        <w:t xml:space="preserve">Patrick, </w:t>
      </w:r>
      <w:proofErr w:type="spellStart"/>
      <w:r w:rsidRPr="00C0072D">
        <w:t>Dunae</w:t>
      </w:r>
      <w:proofErr w:type="spellEnd"/>
      <w:r w:rsidR="001867BD">
        <w:t xml:space="preserve">, </w:t>
      </w:r>
      <w:r>
        <w:t>‘</w:t>
      </w:r>
      <w:r w:rsidRPr="00C0072D">
        <w:t xml:space="preserve">Boys' Literature and the Idea of </w:t>
      </w:r>
      <w:r w:rsidR="001E4262">
        <w:t>Empire</w:t>
      </w:r>
      <w:r w:rsidRPr="00C0072D">
        <w:t>, 1870-1914</w:t>
      </w:r>
      <w:r>
        <w:t>’,</w:t>
      </w:r>
      <w:r w:rsidRPr="00C0072D">
        <w:t xml:space="preserve"> </w:t>
      </w:r>
      <w:r w:rsidR="009E5CB8">
        <w:rPr>
          <w:i/>
          <w:iCs/>
        </w:rPr>
        <w:t>Victorian</w:t>
      </w:r>
      <w:r w:rsidRPr="00C0072D">
        <w:rPr>
          <w:i/>
          <w:iCs/>
        </w:rPr>
        <w:t xml:space="preserve"> Studies</w:t>
      </w:r>
      <w:r w:rsidR="001867BD">
        <w:rPr>
          <w:i/>
          <w:iCs/>
        </w:rPr>
        <w:t>,</w:t>
      </w:r>
      <w:r w:rsidRPr="00C0072D">
        <w:t xml:space="preserve"> 24</w:t>
      </w:r>
      <w:r w:rsidR="001867BD">
        <w:t>,</w:t>
      </w:r>
      <w:r>
        <w:t xml:space="preserve"> </w:t>
      </w:r>
      <w:r w:rsidRPr="00C0072D">
        <w:t>(1980)</w:t>
      </w:r>
      <w:r w:rsidR="001867BD">
        <w:t>,</w:t>
      </w:r>
      <w:r>
        <w:t xml:space="preserve"> p.106</w:t>
      </w:r>
      <w:r w:rsidR="001867BD">
        <w:t>.</w:t>
      </w:r>
    </w:p>
  </w:footnote>
  <w:footnote w:id="34">
    <w:p w14:paraId="72EB8CB2" w14:textId="3FD39BE1" w:rsidR="00ED4854" w:rsidRDefault="00ED4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4854">
        <w:t xml:space="preserve">Lloyd, </w:t>
      </w:r>
      <w:r w:rsidR="009F188C">
        <w:t>‘</w:t>
      </w:r>
      <w:r w:rsidRPr="00ED4854">
        <w:t xml:space="preserve">The British </w:t>
      </w:r>
      <w:r w:rsidR="001E4262">
        <w:t>Empire</w:t>
      </w:r>
      <w:r w:rsidR="009F188C">
        <w:t xml:space="preserve">’, </w:t>
      </w:r>
      <w:r w:rsidR="001867BD">
        <w:t>(2007).</w:t>
      </w:r>
    </w:p>
  </w:footnote>
  <w:footnote w:id="35">
    <w:p w14:paraId="0755AD37" w14:textId="42A752EB" w:rsidR="00ED4854" w:rsidRDefault="00ED4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67BD">
        <w:t>Ibid.</w:t>
      </w:r>
    </w:p>
  </w:footnote>
  <w:footnote w:id="36">
    <w:p w14:paraId="2E2129EE" w14:textId="49ADD12E" w:rsidR="002608E1" w:rsidRDefault="002608E1" w:rsidP="002608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1D2F">
        <w:t xml:space="preserve">Greg, </w:t>
      </w:r>
      <w:r w:rsidRPr="00BC3565">
        <w:t>King</w:t>
      </w:r>
      <w:r w:rsidR="00F91D2F">
        <w:t xml:space="preserve">, </w:t>
      </w:r>
      <w:r w:rsidRPr="00BC3565">
        <w:rPr>
          <w:i/>
          <w:iCs/>
        </w:rPr>
        <w:t xml:space="preserve">Twilight of </w:t>
      </w:r>
      <w:proofErr w:type="spellStart"/>
      <w:r w:rsidRPr="00BC3565">
        <w:rPr>
          <w:i/>
          <w:iCs/>
        </w:rPr>
        <w:t>Splendor</w:t>
      </w:r>
      <w:proofErr w:type="spellEnd"/>
      <w:r w:rsidRPr="00BC3565">
        <w:rPr>
          <w:i/>
          <w:iCs/>
        </w:rPr>
        <w:t>: the court of Queen Victoria during her diamond jubilee year</w:t>
      </w:r>
      <w:r w:rsidR="00F91D2F">
        <w:t xml:space="preserve">, </w:t>
      </w:r>
      <w:r>
        <w:t>(</w:t>
      </w:r>
      <w:r w:rsidRPr="00BC3565">
        <w:t>John Wiley &amp; Sons, 2007</w:t>
      </w:r>
      <w:r>
        <w:t>)</w:t>
      </w:r>
      <w:r w:rsidR="00F91D2F">
        <w:t xml:space="preserve">, </w:t>
      </w:r>
      <w:r>
        <w:t>p.19</w:t>
      </w:r>
      <w:r w:rsidR="00F91D2F">
        <w:t>.</w:t>
      </w:r>
    </w:p>
  </w:footnote>
  <w:footnote w:id="37">
    <w:p w14:paraId="4952646E" w14:textId="62DDA44A" w:rsidR="002608E1" w:rsidRPr="0031583D" w:rsidRDefault="002608E1" w:rsidP="002608E1">
      <w:pPr>
        <w:pStyle w:val="FootnoteText"/>
      </w:pPr>
      <w:r>
        <w:rPr>
          <w:rStyle w:val="FootnoteReference"/>
        </w:rPr>
        <w:footnoteRef/>
      </w:r>
      <w:r>
        <w:t xml:space="preserve"> Frost,</w:t>
      </w:r>
      <w:r w:rsidR="00F91D2F">
        <w:t xml:space="preserve"> </w:t>
      </w:r>
      <w:r w:rsidR="009E5CB8">
        <w:rPr>
          <w:i/>
          <w:iCs/>
        </w:rPr>
        <w:t>Victorian</w:t>
      </w:r>
      <w:r w:rsidRPr="0031583D">
        <w:rPr>
          <w:i/>
          <w:iCs/>
        </w:rPr>
        <w:t xml:space="preserve"> Childhoods</w:t>
      </w:r>
      <w:r w:rsidR="00F91D2F">
        <w:rPr>
          <w:i/>
          <w:iCs/>
        </w:rPr>
        <w:t xml:space="preserve">, </w:t>
      </w:r>
      <w:r w:rsidRPr="0031583D">
        <w:t>p.118</w:t>
      </w:r>
      <w:r w:rsidR="00F91D2F">
        <w:t>.</w:t>
      </w:r>
    </w:p>
  </w:footnote>
  <w:footnote w:id="38">
    <w:p w14:paraId="61572AB0" w14:textId="210CE26E" w:rsidR="006D23DF" w:rsidRPr="0031583D" w:rsidRDefault="00705BB3" w:rsidP="00705BB3">
      <w:pPr>
        <w:pStyle w:val="FootnoteText"/>
      </w:pPr>
      <w:r>
        <w:rPr>
          <w:rStyle w:val="FootnoteReference"/>
        </w:rPr>
        <w:footnoteRef/>
      </w:r>
      <w:r w:rsidR="006D23DF">
        <w:t xml:space="preserve"> </w:t>
      </w:r>
      <w:r w:rsidR="001C3171" w:rsidRPr="001C3171">
        <w:t>S</w:t>
      </w:r>
      <w:r w:rsidR="006D23DF">
        <w:t>usie. S</w:t>
      </w:r>
      <w:r w:rsidR="001C3171" w:rsidRPr="001C3171">
        <w:t>teinbach</w:t>
      </w:r>
      <w:r w:rsidR="006D23DF">
        <w:t xml:space="preserve">, </w:t>
      </w:r>
      <w:r w:rsidR="001C3171" w:rsidRPr="001C3171">
        <w:rPr>
          <w:i/>
          <w:iCs/>
        </w:rPr>
        <w:t xml:space="preserve">Understanding the </w:t>
      </w:r>
      <w:r w:rsidR="009E5CB8">
        <w:rPr>
          <w:i/>
          <w:iCs/>
        </w:rPr>
        <w:t>Victorian</w:t>
      </w:r>
      <w:r w:rsidR="001C3171" w:rsidRPr="001C3171">
        <w:rPr>
          <w:i/>
          <w:iCs/>
        </w:rPr>
        <w:t xml:space="preserve">s: Politics, </w:t>
      </w:r>
      <w:proofErr w:type="gramStart"/>
      <w:r w:rsidR="001C3171" w:rsidRPr="001C3171">
        <w:rPr>
          <w:i/>
          <w:iCs/>
        </w:rPr>
        <w:t>culture</w:t>
      </w:r>
      <w:proofErr w:type="gramEnd"/>
      <w:r w:rsidR="001C3171" w:rsidRPr="001C3171">
        <w:rPr>
          <w:i/>
          <w:iCs/>
        </w:rPr>
        <w:t xml:space="preserve"> and society in nineteenth-century </w:t>
      </w:r>
      <w:r w:rsidR="009E5CB8">
        <w:rPr>
          <w:i/>
          <w:iCs/>
        </w:rPr>
        <w:t>Britain</w:t>
      </w:r>
      <w:r w:rsidR="006D23DF">
        <w:t xml:space="preserve">, </w:t>
      </w:r>
      <w:r w:rsidR="001C3171" w:rsidRPr="001C3171">
        <w:t>(</w:t>
      </w:r>
      <w:r w:rsidR="006D23DF">
        <w:t xml:space="preserve">London: </w:t>
      </w:r>
      <w:r w:rsidR="001C3171" w:rsidRPr="001C3171">
        <w:t>Routledge, 2016)</w:t>
      </w:r>
      <w:r w:rsidR="006D23DF">
        <w:t>,</w:t>
      </w:r>
      <w:r w:rsidR="001C3171" w:rsidRPr="001C3171">
        <w:t xml:space="preserve"> p.138</w:t>
      </w:r>
      <w:r w:rsidR="001C3171">
        <w:t>;</w:t>
      </w:r>
      <w:r>
        <w:t xml:space="preserve"> </w:t>
      </w:r>
      <w:r w:rsidRPr="0031583D">
        <w:t>Porter,</w:t>
      </w:r>
      <w:r w:rsidR="006D23DF">
        <w:t xml:space="preserve"> </w:t>
      </w:r>
      <w:r w:rsidRPr="0031583D">
        <w:rPr>
          <w:i/>
          <w:iCs/>
        </w:rPr>
        <w:t>The Absent-Minded Imperialists,</w:t>
      </w:r>
      <w:r w:rsidRPr="0031583D">
        <w:t xml:space="preserve"> p.6</w:t>
      </w:r>
      <w:r>
        <w:t>7</w:t>
      </w:r>
      <w:r w:rsidR="006D23DF">
        <w:t>.</w:t>
      </w:r>
    </w:p>
  </w:footnote>
  <w:footnote w:id="39">
    <w:p w14:paraId="3F2F0F23" w14:textId="4026A629" w:rsidR="00B0114F" w:rsidRDefault="00B011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966B4">
        <w:t xml:space="preserve">Brad, </w:t>
      </w:r>
      <w:proofErr w:type="spellStart"/>
      <w:r w:rsidR="00272198" w:rsidRPr="00272198">
        <w:t>Beaven</w:t>
      </w:r>
      <w:proofErr w:type="spellEnd"/>
      <w:r w:rsidR="00272198" w:rsidRPr="00272198">
        <w:t xml:space="preserve">, </w:t>
      </w:r>
      <w:r w:rsidR="000E36BD">
        <w:t>‘</w:t>
      </w:r>
      <w:r w:rsidR="00272198" w:rsidRPr="00272198">
        <w:t xml:space="preserve">Educating the future citizens of </w:t>
      </w:r>
      <w:r w:rsidR="001E4262">
        <w:t>Empire</w:t>
      </w:r>
      <w:r w:rsidR="00272198" w:rsidRPr="00272198">
        <w:t>: Working-class schooling, 1870–1939</w:t>
      </w:r>
      <w:r w:rsidR="000E36BD">
        <w:t xml:space="preserve">’, </w:t>
      </w:r>
      <w:r w:rsidR="00272198" w:rsidRPr="00272198">
        <w:rPr>
          <w:i/>
          <w:iCs/>
        </w:rPr>
        <w:t xml:space="preserve">Visions of </w:t>
      </w:r>
      <w:r w:rsidR="001E4262">
        <w:rPr>
          <w:i/>
          <w:iCs/>
        </w:rPr>
        <w:t>Empire</w:t>
      </w:r>
      <w:r w:rsidR="000E36BD">
        <w:t xml:space="preserve">, (Manchester: Manchester University Press, </w:t>
      </w:r>
      <w:r w:rsidR="004966B4">
        <w:t>2017), p.125.</w:t>
      </w:r>
    </w:p>
  </w:footnote>
  <w:footnote w:id="40">
    <w:p w14:paraId="4BD62DDE" w14:textId="01A43140" w:rsidR="00F37DC0" w:rsidRDefault="00F37D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Beaven</w:t>
      </w:r>
      <w:proofErr w:type="spellEnd"/>
      <w:r w:rsidR="0056425D">
        <w:t xml:space="preserve">, ‘Educating the future citizens of </w:t>
      </w:r>
      <w:r w:rsidR="001E4262">
        <w:t>Empire</w:t>
      </w:r>
      <w:r w:rsidR="0056425D">
        <w:t xml:space="preserve">’, </w:t>
      </w:r>
      <w:r>
        <w:t>p.130</w:t>
      </w:r>
      <w:r w:rsidR="0056425D">
        <w:t>.</w:t>
      </w:r>
    </w:p>
  </w:footnote>
  <w:footnote w:id="41">
    <w:p w14:paraId="7D779C5C" w14:textId="6084961A" w:rsidR="00667143" w:rsidRDefault="006671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2" w:name="_Hlk97847892"/>
      <w:r w:rsidR="00C47B7D">
        <w:t xml:space="preserve">Ibid, </w:t>
      </w:r>
      <w:r>
        <w:t>p.1</w:t>
      </w:r>
      <w:r w:rsidR="00516E31">
        <w:t>30</w:t>
      </w:r>
      <w:bookmarkEnd w:id="12"/>
      <w:r w:rsidR="00516E31">
        <w:t>;</w:t>
      </w:r>
      <w:r w:rsidR="003735B2">
        <w:t xml:space="preserve"> </w:t>
      </w:r>
      <w:r w:rsidR="003735B2" w:rsidRPr="003735B2">
        <w:t xml:space="preserve">CRO, CEE/log/15/1, ‘St Michael’s Church of England School </w:t>
      </w:r>
      <w:proofErr w:type="gramStart"/>
      <w:r w:rsidR="003735B2" w:rsidRPr="003735B2">
        <w:t>log book</w:t>
      </w:r>
      <w:proofErr w:type="gramEnd"/>
      <w:r w:rsidR="003735B2" w:rsidRPr="003735B2">
        <w:t>’, 9 March</w:t>
      </w:r>
      <w:r w:rsidR="003735B2" w:rsidRPr="003735B2">
        <w:br/>
        <w:t>1883; 3 March 1897.</w:t>
      </w:r>
    </w:p>
  </w:footnote>
  <w:footnote w:id="42">
    <w:p w14:paraId="70DF4EDB" w14:textId="543236C6" w:rsidR="000E28D8" w:rsidRDefault="000E28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5638" w:rsidRPr="008B5638">
        <w:t xml:space="preserve">Lloyd, ‘The British </w:t>
      </w:r>
      <w:r w:rsidR="001E4262">
        <w:t>Empire</w:t>
      </w:r>
      <w:r w:rsidR="008B5638" w:rsidRPr="008B5638">
        <w:t>’, (2007).</w:t>
      </w:r>
    </w:p>
  </w:footnote>
  <w:footnote w:id="43">
    <w:p w14:paraId="792C465C" w14:textId="53932B2B" w:rsidR="004C4C94" w:rsidRDefault="004C4C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3" w:name="_Hlk97899099"/>
      <w:r w:rsidR="00C00B1E" w:rsidRPr="00C00B1E">
        <w:t>Porter,</w:t>
      </w:r>
      <w:r w:rsidR="00C00B1E" w:rsidRPr="00C00B1E">
        <w:rPr>
          <w:i/>
          <w:iCs/>
        </w:rPr>
        <w:t xml:space="preserve"> The absent-minded imperialists</w:t>
      </w:r>
      <w:bookmarkEnd w:id="13"/>
      <w:r w:rsidR="00C00B1E" w:rsidRPr="00C00B1E">
        <w:t>, p.</w:t>
      </w:r>
      <w:r w:rsidR="00BE6800">
        <w:t>84.</w:t>
      </w:r>
    </w:p>
  </w:footnote>
  <w:footnote w:id="44">
    <w:p w14:paraId="5236ECD9" w14:textId="5FBA0790" w:rsidR="00425B32" w:rsidRDefault="00425B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1016" w:rsidRPr="002E1016">
        <w:t xml:space="preserve">Frost, </w:t>
      </w:r>
      <w:r w:rsidR="009E5CB8">
        <w:rPr>
          <w:i/>
          <w:iCs/>
        </w:rPr>
        <w:t>Victorian</w:t>
      </w:r>
      <w:r w:rsidR="002E1016" w:rsidRPr="002E1016">
        <w:rPr>
          <w:i/>
          <w:iCs/>
        </w:rPr>
        <w:t xml:space="preserve"> Childhoods, </w:t>
      </w:r>
      <w:r w:rsidR="002E1016" w:rsidRPr="002E1016">
        <w:t>p.109</w:t>
      </w:r>
    </w:p>
  </w:footnote>
  <w:footnote w:id="45">
    <w:p w14:paraId="51B6E7F1" w14:textId="37514B48" w:rsidR="002E1016" w:rsidRDefault="002E1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E1016">
        <w:t>Tholfsen</w:t>
      </w:r>
      <w:proofErr w:type="spellEnd"/>
      <w:r w:rsidRPr="002E1016">
        <w:t>, ‘Moral Education’, p.94.</w:t>
      </w:r>
    </w:p>
  </w:footnote>
  <w:footnote w:id="46">
    <w:p w14:paraId="6047D8E3" w14:textId="47E6DB27" w:rsidR="002E1016" w:rsidRDefault="002E1016">
      <w:pPr>
        <w:pStyle w:val="FootnoteText"/>
      </w:pPr>
      <w:r>
        <w:rPr>
          <w:rStyle w:val="FootnoteReference"/>
        </w:rPr>
        <w:footnoteRef/>
      </w:r>
      <w:r>
        <w:t xml:space="preserve"> Porter</w:t>
      </w:r>
      <w:r w:rsidR="00BE6800">
        <w:t xml:space="preserve">, </w:t>
      </w:r>
      <w:r w:rsidR="00BE6800" w:rsidRPr="00BE6800">
        <w:rPr>
          <w:i/>
          <w:iCs/>
        </w:rPr>
        <w:t>The absent-minded imperialists</w:t>
      </w:r>
      <w:r w:rsidR="00BE6800">
        <w:rPr>
          <w:i/>
          <w:iCs/>
        </w:rPr>
        <w:t>,</w:t>
      </w:r>
      <w:r w:rsidR="00BE6800" w:rsidRPr="00BE6800">
        <w:t xml:space="preserve"> </w:t>
      </w:r>
      <w:r>
        <w:t>p.67</w:t>
      </w:r>
      <w:r w:rsidR="00BE6800">
        <w:t>.</w:t>
      </w:r>
    </w:p>
  </w:footnote>
  <w:footnote w:id="47">
    <w:p w14:paraId="482C2885" w14:textId="7A814023" w:rsidR="00CE3209" w:rsidRDefault="00CE3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209">
        <w:t xml:space="preserve">McDermid, </w:t>
      </w:r>
      <w:r w:rsidRPr="00CE3209">
        <w:rPr>
          <w:i/>
          <w:iCs/>
        </w:rPr>
        <w:t xml:space="preserve">The schooling of working-class girls, </w:t>
      </w:r>
      <w:r w:rsidRPr="00CE3209">
        <w:t xml:space="preserve">p.1; </w:t>
      </w:r>
      <w:proofErr w:type="spellStart"/>
      <w:r w:rsidRPr="00CE3209">
        <w:t>Dyhouse</w:t>
      </w:r>
      <w:proofErr w:type="spellEnd"/>
      <w:r w:rsidRPr="00CE3209">
        <w:t>, ‘Towards a “feminine” curriculum for English schoolgirls</w:t>
      </w:r>
      <w:r w:rsidR="00A84DE0">
        <w:t xml:space="preserve">, </w:t>
      </w:r>
      <w:r w:rsidRPr="00CE3209">
        <w:t>p.297</w:t>
      </w:r>
      <w:r w:rsidR="00A84DE0">
        <w:t>.</w:t>
      </w:r>
    </w:p>
  </w:footnote>
  <w:footnote w:id="48">
    <w:p w14:paraId="74C23D6E" w14:textId="66000A82" w:rsidR="008B55D3" w:rsidRDefault="008B55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B55D3">
        <w:t>Hyam</w:t>
      </w:r>
      <w:proofErr w:type="spellEnd"/>
      <w:r w:rsidRPr="008B55D3">
        <w:t xml:space="preserve">, </w:t>
      </w:r>
      <w:r w:rsidR="009E5CB8">
        <w:rPr>
          <w:i/>
          <w:iCs/>
        </w:rPr>
        <w:t>Britain</w:t>
      </w:r>
      <w:r w:rsidRPr="008B55D3">
        <w:rPr>
          <w:i/>
          <w:iCs/>
        </w:rPr>
        <w:t>'s imperial century</w:t>
      </w:r>
      <w:r w:rsidRPr="008B55D3">
        <w:t xml:space="preserve">, p.22; Edgerton, </w:t>
      </w:r>
      <w:proofErr w:type="gramStart"/>
      <w:r w:rsidRPr="008B55D3">
        <w:rPr>
          <w:i/>
          <w:iCs/>
        </w:rPr>
        <w:t>The</w:t>
      </w:r>
      <w:proofErr w:type="gramEnd"/>
      <w:r w:rsidRPr="008B55D3">
        <w:rPr>
          <w:i/>
          <w:iCs/>
        </w:rPr>
        <w:t xml:space="preserve"> rise and fall of the British nation: A twentieth-century history</w:t>
      </w:r>
      <w:r w:rsidR="00A84DE0">
        <w:t>, (</w:t>
      </w:r>
      <w:r w:rsidRPr="008B55D3">
        <w:t>2018</w:t>
      </w:r>
      <w:r w:rsidR="00A84DE0">
        <w:t>).</w:t>
      </w:r>
    </w:p>
  </w:footnote>
  <w:footnote w:id="49">
    <w:p w14:paraId="43B115F2" w14:textId="20ED90F7" w:rsidR="00B9692F" w:rsidRPr="00250300" w:rsidRDefault="00B9692F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B9692F">
        <w:t xml:space="preserve">Humphries, </w:t>
      </w:r>
      <w:r w:rsidRPr="00B9692F">
        <w:rPr>
          <w:i/>
          <w:iCs/>
        </w:rPr>
        <w:t>Childhood and child labour</w:t>
      </w:r>
      <w:r w:rsidRPr="00B9692F">
        <w:t>, p.7</w:t>
      </w:r>
      <w:r w:rsidR="00A84DE0">
        <w:t>.</w:t>
      </w:r>
    </w:p>
  </w:footnote>
  <w:footnote w:id="50">
    <w:p w14:paraId="7A1EF4E9" w14:textId="227A428A" w:rsidR="004C0E8A" w:rsidRDefault="004C0E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4DE0">
        <w:t>Ibid,</w:t>
      </w:r>
      <w:r w:rsidR="00250300" w:rsidRPr="00250300">
        <w:t xml:space="preserve"> </w:t>
      </w:r>
      <w:r w:rsidR="00A84DE0">
        <w:t>p</w:t>
      </w:r>
      <w:r w:rsidR="00250300" w:rsidRPr="00250300">
        <w:t>.5</w:t>
      </w:r>
      <w:r w:rsidR="00A84DE0">
        <w:t>.</w:t>
      </w:r>
    </w:p>
  </w:footnote>
  <w:footnote w:id="51">
    <w:p w14:paraId="7389DE60" w14:textId="43444014" w:rsidR="00AA0FA0" w:rsidRDefault="00AA0F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A84DE0" w:rsidRPr="00A84DE0">
        <w:t>Beaven</w:t>
      </w:r>
      <w:proofErr w:type="spellEnd"/>
      <w:r w:rsidR="00A84DE0" w:rsidRPr="00A84DE0">
        <w:t xml:space="preserve">, ‘Educating the future citizens of </w:t>
      </w:r>
      <w:r w:rsidR="001E4262">
        <w:t>Empire</w:t>
      </w:r>
      <w:r w:rsidR="00A84DE0" w:rsidRPr="00A84DE0">
        <w:t>’</w:t>
      </w:r>
      <w:r w:rsidR="00A84DE0">
        <w:t xml:space="preserve">, </w:t>
      </w:r>
      <w:r w:rsidRPr="00AA0FA0">
        <w:t>p.130</w:t>
      </w:r>
      <w:r w:rsidR="00A84DE0">
        <w:t>.</w:t>
      </w:r>
    </w:p>
  </w:footnote>
  <w:footnote w:id="52">
    <w:p w14:paraId="784A6FB8" w14:textId="4D6AD019" w:rsidR="00266484" w:rsidRPr="00266484" w:rsidRDefault="000B5D2C" w:rsidP="002664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66484" w:rsidRPr="00266484">
        <w:t xml:space="preserve">Frost, </w:t>
      </w:r>
      <w:r w:rsidR="009E5CB8">
        <w:rPr>
          <w:i/>
          <w:iCs/>
        </w:rPr>
        <w:t>Victorian</w:t>
      </w:r>
      <w:r w:rsidR="00266484" w:rsidRPr="00266484">
        <w:rPr>
          <w:i/>
          <w:iCs/>
        </w:rPr>
        <w:t xml:space="preserve"> Childhood</w:t>
      </w:r>
      <w:r w:rsidR="00A84DE0">
        <w:rPr>
          <w:i/>
          <w:iCs/>
        </w:rPr>
        <w:t xml:space="preserve">s, </w:t>
      </w:r>
      <w:r w:rsidR="00266484" w:rsidRPr="00266484">
        <w:t>p.118</w:t>
      </w:r>
      <w:r w:rsidR="00A84DE0">
        <w:t>.</w:t>
      </w:r>
    </w:p>
    <w:p w14:paraId="49AFC143" w14:textId="5AACEBF7" w:rsidR="000B5D2C" w:rsidRDefault="000B5D2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2DFE"/>
    <w:multiLevelType w:val="hybridMultilevel"/>
    <w:tmpl w:val="289EAA30"/>
    <w:lvl w:ilvl="0" w:tplc="A5289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4"/>
    <w:rsid w:val="000030E5"/>
    <w:rsid w:val="0001135D"/>
    <w:rsid w:val="00014121"/>
    <w:rsid w:val="0001608C"/>
    <w:rsid w:val="00024289"/>
    <w:rsid w:val="00031A6B"/>
    <w:rsid w:val="00032700"/>
    <w:rsid w:val="00034AFA"/>
    <w:rsid w:val="000437F1"/>
    <w:rsid w:val="000439B0"/>
    <w:rsid w:val="00047358"/>
    <w:rsid w:val="00050711"/>
    <w:rsid w:val="00054854"/>
    <w:rsid w:val="0005547C"/>
    <w:rsid w:val="0006536E"/>
    <w:rsid w:val="00066F4C"/>
    <w:rsid w:val="00076B2C"/>
    <w:rsid w:val="0007753A"/>
    <w:rsid w:val="00082AB8"/>
    <w:rsid w:val="00084151"/>
    <w:rsid w:val="000861EA"/>
    <w:rsid w:val="00086FC7"/>
    <w:rsid w:val="00090488"/>
    <w:rsid w:val="00091730"/>
    <w:rsid w:val="000932EA"/>
    <w:rsid w:val="000A15AC"/>
    <w:rsid w:val="000A55E7"/>
    <w:rsid w:val="000A5E9B"/>
    <w:rsid w:val="000B06DA"/>
    <w:rsid w:val="000B0EC4"/>
    <w:rsid w:val="000B46E2"/>
    <w:rsid w:val="000B5D2C"/>
    <w:rsid w:val="000B6780"/>
    <w:rsid w:val="000B7EDB"/>
    <w:rsid w:val="000C2D62"/>
    <w:rsid w:val="000C5BC4"/>
    <w:rsid w:val="000C67A2"/>
    <w:rsid w:val="000C68AD"/>
    <w:rsid w:val="000C7A19"/>
    <w:rsid w:val="000D43A0"/>
    <w:rsid w:val="000D5605"/>
    <w:rsid w:val="000D6317"/>
    <w:rsid w:val="000E28D8"/>
    <w:rsid w:val="000E36BD"/>
    <w:rsid w:val="000F4FFF"/>
    <w:rsid w:val="0010292F"/>
    <w:rsid w:val="00102D5C"/>
    <w:rsid w:val="001071A9"/>
    <w:rsid w:val="00116F74"/>
    <w:rsid w:val="001273CD"/>
    <w:rsid w:val="00127408"/>
    <w:rsid w:val="00130D24"/>
    <w:rsid w:val="00137980"/>
    <w:rsid w:val="00141B76"/>
    <w:rsid w:val="00142AF6"/>
    <w:rsid w:val="001632C4"/>
    <w:rsid w:val="00163876"/>
    <w:rsid w:val="0016554E"/>
    <w:rsid w:val="00174017"/>
    <w:rsid w:val="00175399"/>
    <w:rsid w:val="00175AC0"/>
    <w:rsid w:val="00181DB6"/>
    <w:rsid w:val="00183D48"/>
    <w:rsid w:val="001867BD"/>
    <w:rsid w:val="00195079"/>
    <w:rsid w:val="001A36D5"/>
    <w:rsid w:val="001A6436"/>
    <w:rsid w:val="001B00AB"/>
    <w:rsid w:val="001B18A5"/>
    <w:rsid w:val="001C1844"/>
    <w:rsid w:val="001C1E3C"/>
    <w:rsid w:val="001C3171"/>
    <w:rsid w:val="001C5862"/>
    <w:rsid w:val="001C5FD7"/>
    <w:rsid w:val="001D0DB1"/>
    <w:rsid w:val="001E14CC"/>
    <w:rsid w:val="001E4262"/>
    <w:rsid w:val="001E494E"/>
    <w:rsid w:val="001E59E4"/>
    <w:rsid w:val="001E7A45"/>
    <w:rsid w:val="00200463"/>
    <w:rsid w:val="00210796"/>
    <w:rsid w:val="002114AF"/>
    <w:rsid w:val="00214AE6"/>
    <w:rsid w:val="002171C5"/>
    <w:rsid w:val="00222D4F"/>
    <w:rsid w:val="0022326B"/>
    <w:rsid w:val="0022516C"/>
    <w:rsid w:val="00230B57"/>
    <w:rsid w:val="00241988"/>
    <w:rsid w:val="002450A5"/>
    <w:rsid w:val="0024522A"/>
    <w:rsid w:val="00250300"/>
    <w:rsid w:val="00251D9B"/>
    <w:rsid w:val="002552AE"/>
    <w:rsid w:val="002608E1"/>
    <w:rsid w:val="00266484"/>
    <w:rsid w:val="0026702D"/>
    <w:rsid w:val="00267AE0"/>
    <w:rsid w:val="00267C36"/>
    <w:rsid w:val="00272198"/>
    <w:rsid w:val="00276E01"/>
    <w:rsid w:val="00277F5D"/>
    <w:rsid w:val="0028107F"/>
    <w:rsid w:val="00281B72"/>
    <w:rsid w:val="00281C6C"/>
    <w:rsid w:val="00283CF3"/>
    <w:rsid w:val="00284551"/>
    <w:rsid w:val="002864C5"/>
    <w:rsid w:val="002A001C"/>
    <w:rsid w:val="002B35C0"/>
    <w:rsid w:val="002B7239"/>
    <w:rsid w:val="002D7A8D"/>
    <w:rsid w:val="002E04A4"/>
    <w:rsid w:val="002E1016"/>
    <w:rsid w:val="002E5934"/>
    <w:rsid w:val="003066F6"/>
    <w:rsid w:val="00317ACD"/>
    <w:rsid w:val="00320774"/>
    <w:rsid w:val="0032228C"/>
    <w:rsid w:val="00324A66"/>
    <w:rsid w:val="00326FC0"/>
    <w:rsid w:val="00332F78"/>
    <w:rsid w:val="00333468"/>
    <w:rsid w:val="0033391A"/>
    <w:rsid w:val="00343093"/>
    <w:rsid w:val="00355D9D"/>
    <w:rsid w:val="003614B7"/>
    <w:rsid w:val="003664AC"/>
    <w:rsid w:val="00367692"/>
    <w:rsid w:val="00370889"/>
    <w:rsid w:val="003726BE"/>
    <w:rsid w:val="003735B2"/>
    <w:rsid w:val="0038127D"/>
    <w:rsid w:val="00384AE8"/>
    <w:rsid w:val="00384C42"/>
    <w:rsid w:val="0039130D"/>
    <w:rsid w:val="00392851"/>
    <w:rsid w:val="003A20E8"/>
    <w:rsid w:val="003A2A0D"/>
    <w:rsid w:val="003A459A"/>
    <w:rsid w:val="003A5B30"/>
    <w:rsid w:val="003B2F13"/>
    <w:rsid w:val="003C1932"/>
    <w:rsid w:val="003D39BB"/>
    <w:rsid w:val="003D4330"/>
    <w:rsid w:val="003D66C4"/>
    <w:rsid w:val="003E012C"/>
    <w:rsid w:val="003F60DC"/>
    <w:rsid w:val="00400047"/>
    <w:rsid w:val="004105B4"/>
    <w:rsid w:val="00412851"/>
    <w:rsid w:val="0041579E"/>
    <w:rsid w:val="00415BF0"/>
    <w:rsid w:val="00421933"/>
    <w:rsid w:val="00425B32"/>
    <w:rsid w:val="004317C0"/>
    <w:rsid w:val="004318A7"/>
    <w:rsid w:val="00432D78"/>
    <w:rsid w:val="0043487E"/>
    <w:rsid w:val="00437300"/>
    <w:rsid w:val="00437D83"/>
    <w:rsid w:val="00446975"/>
    <w:rsid w:val="004515B5"/>
    <w:rsid w:val="0045221F"/>
    <w:rsid w:val="004563D6"/>
    <w:rsid w:val="0045788D"/>
    <w:rsid w:val="004634B3"/>
    <w:rsid w:val="004636F9"/>
    <w:rsid w:val="00466D06"/>
    <w:rsid w:val="00467A5D"/>
    <w:rsid w:val="00467C5E"/>
    <w:rsid w:val="0047167F"/>
    <w:rsid w:val="004737D7"/>
    <w:rsid w:val="004740ED"/>
    <w:rsid w:val="00474393"/>
    <w:rsid w:val="00480EEF"/>
    <w:rsid w:val="00482DE0"/>
    <w:rsid w:val="004929CD"/>
    <w:rsid w:val="00494152"/>
    <w:rsid w:val="004966B4"/>
    <w:rsid w:val="004B3A78"/>
    <w:rsid w:val="004C0E8A"/>
    <w:rsid w:val="004C4C94"/>
    <w:rsid w:val="004C7B96"/>
    <w:rsid w:val="004D2F75"/>
    <w:rsid w:val="004E30D4"/>
    <w:rsid w:val="004E5381"/>
    <w:rsid w:val="004E6A0F"/>
    <w:rsid w:val="004E6BEE"/>
    <w:rsid w:val="00500BE4"/>
    <w:rsid w:val="0051207A"/>
    <w:rsid w:val="00516E31"/>
    <w:rsid w:val="0052310F"/>
    <w:rsid w:val="005251DA"/>
    <w:rsid w:val="00530527"/>
    <w:rsid w:val="005373EB"/>
    <w:rsid w:val="0054085D"/>
    <w:rsid w:val="00542900"/>
    <w:rsid w:val="00543778"/>
    <w:rsid w:val="00543DE8"/>
    <w:rsid w:val="00554070"/>
    <w:rsid w:val="00561D97"/>
    <w:rsid w:val="00563A23"/>
    <w:rsid w:val="0056425D"/>
    <w:rsid w:val="00566C46"/>
    <w:rsid w:val="00567B62"/>
    <w:rsid w:val="00570A56"/>
    <w:rsid w:val="005719DC"/>
    <w:rsid w:val="00571AA4"/>
    <w:rsid w:val="0057774B"/>
    <w:rsid w:val="00582CE5"/>
    <w:rsid w:val="005833FF"/>
    <w:rsid w:val="005847F8"/>
    <w:rsid w:val="0058614C"/>
    <w:rsid w:val="00587B75"/>
    <w:rsid w:val="00592E26"/>
    <w:rsid w:val="00594D86"/>
    <w:rsid w:val="00597DC1"/>
    <w:rsid w:val="005A4552"/>
    <w:rsid w:val="005A78C6"/>
    <w:rsid w:val="005B327E"/>
    <w:rsid w:val="005B44FD"/>
    <w:rsid w:val="005B69B4"/>
    <w:rsid w:val="005C20C6"/>
    <w:rsid w:val="005C2EF1"/>
    <w:rsid w:val="005C3EE4"/>
    <w:rsid w:val="005C6F9B"/>
    <w:rsid w:val="005C7FEB"/>
    <w:rsid w:val="005D5810"/>
    <w:rsid w:val="005D7FCF"/>
    <w:rsid w:val="005E5590"/>
    <w:rsid w:val="005E5EF6"/>
    <w:rsid w:val="00602526"/>
    <w:rsid w:val="006119BB"/>
    <w:rsid w:val="00611ED3"/>
    <w:rsid w:val="00617E8A"/>
    <w:rsid w:val="006209CD"/>
    <w:rsid w:val="00620EF4"/>
    <w:rsid w:val="0062521A"/>
    <w:rsid w:val="0062579F"/>
    <w:rsid w:val="006270CD"/>
    <w:rsid w:val="00633814"/>
    <w:rsid w:val="006344A5"/>
    <w:rsid w:val="00635A3C"/>
    <w:rsid w:val="00646E14"/>
    <w:rsid w:val="00651F11"/>
    <w:rsid w:val="00665A4A"/>
    <w:rsid w:val="00667143"/>
    <w:rsid w:val="00670FF7"/>
    <w:rsid w:val="00674FCC"/>
    <w:rsid w:val="00676148"/>
    <w:rsid w:val="0068281F"/>
    <w:rsid w:val="00683CF1"/>
    <w:rsid w:val="00684D67"/>
    <w:rsid w:val="006869F3"/>
    <w:rsid w:val="00686D30"/>
    <w:rsid w:val="00686F4E"/>
    <w:rsid w:val="00687A8C"/>
    <w:rsid w:val="006901C6"/>
    <w:rsid w:val="00694237"/>
    <w:rsid w:val="006951DA"/>
    <w:rsid w:val="006A0326"/>
    <w:rsid w:val="006A604A"/>
    <w:rsid w:val="006A6D6D"/>
    <w:rsid w:val="006B01A1"/>
    <w:rsid w:val="006B076D"/>
    <w:rsid w:val="006B6F71"/>
    <w:rsid w:val="006D23DF"/>
    <w:rsid w:val="006D2E71"/>
    <w:rsid w:val="006D3FE8"/>
    <w:rsid w:val="006D46BA"/>
    <w:rsid w:val="006E534D"/>
    <w:rsid w:val="006F786D"/>
    <w:rsid w:val="007020A3"/>
    <w:rsid w:val="0070330F"/>
    <w:rsid w:val="007055DE"/>
    <w:rsid w:val="00705BB3"/>
    <w:rsid w:val="00722DDC"/>
    <w:rsid w:val="00724144"/>
    <w:rsid w:val="00755F4D"/>
    <w:rsid w:val="00757CA6"/>
    <w:rsid w:val="0076109D"/>
    <w:rsid w:val="00767D00"/>
    <w:rsid w:val="00773A4E"/>
    <w:rsid w:val="00773FA1"/>
    <w:rsid w:val="007741AB"/>
    <w:rsid w:val="00775B55"/>
    <w:rsid w:val="007823A1"/>
    <w:rsid w:val="00785287"/>
    <w:rsid w:val="007858A9"/>
    <w:rsid w:val="00786866"/>
    <w:rsid w:val="00786F9E"/>
    <w:rsid w:val="007929F2"/>
    <w:rsid w:val="007A0B69"/>
    <w:rsid w:val="007A0F22"/>
    <w:rsid w:val="007A2BC2"/>
    <w:rsid w:val="007B2162"/>
    <w:rsid w:val="007B4132"/>
    <w:rsid w:val="007C4E84"/>
    <w:rsid w:val="007C6A9E"/>
    <w:rsid w:val="007D3719"/>
    <w:rsid w:val="007D4313"/>
    <w:rsid w:val="007E5EA8"/>
    <w:rsid w:val="007F6D76"/>
    <w:rsid w:val="00800E8B"/>
    <w:rsid w:val="00803DE9"/>
    <w:rsid w:val="00805D92"/>
    <w:rsid w:val="00806BDF"/>
    <w:rsid w:val="00807959"/>
    <w:rsid w:val="0082405C"/>
    <w:rsid w:val="00831A0E"/>
    <w:rsid w:val="00834D84"/>
    <w:rsid w:val="00844D2A"/>
    <w:rsid w:val="00845013"/>
    <w:rsid w:val="00846227"/>
    <w:rsid w:val="0085000E"/>
    <w:rsid w:val="008513CB"/>
    <w:rsid w:val="0085472A"/>
    <w:rsid w:val="00854936"/>
    <w:rsid w:val="008564BF"/>
    <w:rsid w:val="00860E59"/>
    <w:rsid w:val="008635C3"/>
    <w:rsid w:val="0086365E"/>
    <w:rsid w:val="00866DC7"/>
    <w:rsid w:val="008748C9"/>
    <w:rsid w:val="00876E69"/>
    <w:rsid w:val="00877615"/>
    <w:rsid w:val="00877E84"/>
    <w:rsid w:val="00880484"/>
    <w:rsid w:val="008858E6"/>
    <w:rsid w:val="0089062E"/>
    <w:rsid w:val="008A4B43"/>
    <w:rsid w:val="008B55D3"/>
    <w:rsid w:val="008B5638"/>
    <w:rsid w:val="008B6AC0"/>
    <w:rsid w:val="008C039E"/>
    <w:rsid w:val="008C1E2B"/>
    <w:rsid w:val="008C20C0"/>
    <w:rsid w:val="008C5404"/>
    <w:rsid w:val="008D71F4"/>
    <w:rsid w:val="008D7579"/>
    <w:rsid w:val="008E1ED8"/>
    <w:rsid w:val="008E7C5E"/>
    <w:rsid w:val="008F2BDE"/>
    <w:rsid w:val="008F647E"/>
    <w:rsid w:val="00900A54"/>
    <w:rsid w:val="0090219A"/>
    <w:rsid w:val="00906BA5"/>
    <w:rsid w:val="00907039"/>
    <w:rsid w:val="00907842"/>
    <w:rsid w:val="00907927"/>
    <w:rsid w:val="00907A8B"/>
    <w:rsid w:val="009112E5"/>
    <w:rsid w:val="009124EC"/>
    <w:rsid w:val="009130D9"/>
    <w:rsid w:val="00916A48"/>
    <w:rsid w:val="00942FCE"/>
    <w:rsid w:val="009479D7"/>
    <w:rsid w:val="009558E2"/>
    <w:rsid w:val="0096141A"/>
    <w:rsid w:val="00963C14"/>
    <w:rsid w:val="009667B8"/>
    <w:rsid w:val="009678F1"/>
    <w:rsid w:val="00990722"/>
    <w:rsid w:val="00990CEF"/>
    <w:rsid w:val="0099282B"/>
    <w:rsid w:val="009A146D"/>
    <w:rsid w:val="009A2BBA"/>
    <w:rsid w:val="009A63EE"/>
    <w:rsid w:val="009B1155"/>
    <w:rsid w:val="009B1E33"/>
    <w:rsid w:val="009B7A93"/>
    <w:rsid w:val="009C3CBD"/>
    <w:rsid w:val="009C4207"/>
    <w:rsid w:val="009D2177"/>
    <w:rsid w:val="009D2939"/>
    <w:rsid w:val="009D331E"/>
    <w:rsid w:val="009D3324"/>
    <w:rsid w:val="009D421C"/>
    <w:rsid w:val="009D5286"/>
    <w:rsid w:val="009D72C9"/>
    <w:rsid w:val="009E49BA"/>
    <w:rsid w:val="009E5CB8"/>
    <w:rsid w:val="009F188C"/>
    <w:rsid w:val="00A017CC"/>
    <w:rsid w:val="00A05389"/>
    <w:rsid w:val="00A11EB9"/>
    <w:rsid w:val="00A12BDE"/>
    <w:rsid w:val="00A135D5"/>
    <w:rsid w:val="00A13DD2"/>
    <w:rsid w:val="00A26328"/>
    <w:rsid w:val="00A2774E"/>
    <w:rsid w:val="00A304F1"/>
    <w:rsid w:val="00A30959"/>
    <w:rsid w:val="00A34EE5"/>
    <w:rsid w:val="00A41F4B"/>
    <w:rsid w:val="00A420E5"/>
    <w:rsid w:val="00A42D2F"/>
    <w:rsid w:val="00A457AA"/>
    <w:rsid w:val="00A465AF"/>
    <w:rsid w:val="00A47011"/>
    <w:rsid w:val="00A530CE"/>
    <w:rsid w:val="00A53C4A"/>
    <w:rsid w:val="00A60205"/>
    <w:rsid w:val="00A67A27"/>
    <w:rsid w:val="00A83617"/>
    <w:rsid w:val="00A84DE0"/>
    <w:rsid w:val="00A901FC"/>
    <w:rsid w:val="00A91D81"/>
    <w:rsid w:val="00A96C0E"/>
    <w:rsid w:val="00AA0FA0"/>
    <w:rsid w:val="00AA1A22"/>
    <w:rsid w:val="00AA2881"/>
    <w:rsid w:val="00AA6937"/>
    <w:rsid w:val="00AC240F"/>
    <w:rsid w:val="00AC28C2"/>
    <w:rsid w:val="00AC5D01"/>
    <w:rsid w:val="00AC760A"/>
    <w:rsid w:val="00AD6D00"/>
    <w:rsid w:val="00AD6F66"/>
    <w:rsid w:val="00AD7E96"/>
    <w:rsid w:val="00AE1420"/>
    <w:rsid w:val="00AE4C1C"/>
    <w:rsid w:val="00AE5673"/>
    <w:rsid w:val="00AF3368"/>
    <w:rsid w:val="00AF523F"/>
    <w:rsid w:val="00AF6EB3"/>
    <w:rsid w:val="00B00667"/>
    <w:rsid w:val="00B00B95"/>
    <w:rsid w:val="00B0114F"/>
    <w:rsid w:val="00B02FEE"/>
    <w:rsid w:val="00B032D4"/>
    <w:rsid w:val="00B03858"/>
    <w:rsid w:val="00B101EA"/>
    <w:rsid w:val="00B14112"/>
    <w:rsid w:val="00B17E16"/>
    <w:rsid w:val="00B2189B"/>
    <w:rsid w:val="00B23645"/>
    <w:rsid w:val="00B26EEA"/>
    <w:rsid w:val="00B31BC9"/>
    <w:rsid w:val="00B42B34"/>
    <w:rsid w:val="00B45CDC"/>
    <w:rsid w:val="00B46221"/>
    <w:rsid w:val="00B47356"/>
    <w:rsid w:val="00B5239F"/>
    <w:rsid w:val="00B64982"/>
    <w:rsid w:val="00B74CDE"/>
    <w:rsid w:val="00B85EB0"/>
    <w:rsid w:val="00B9692F"/>
    <w:rsid w:val="00BA1E75"/>
    <w:rsid w:val="00BA4C51"/>
    <w:rsid w:val="00BB00EE"/>
    <w:rsid w:val="00BB3964"/>
    <w:rsid w:val="00BB6599"/>
    <w:rsid w:val="00BC52FF"/>
    <w:rsid w:val="00BC538E"/>
    <w:rsid w:val="00BD07F8"/>
    <w:rsid w:val="00BD09E8"/>
    <w:rsid w:val="00BD17A9"/>
    <w:rsid w:val="00BD30B6"/>
    <w:rsid w:val="00BD3523"/>
    <w:rsid w:val="00BE2968"/>
    <w:rsid w:val="00BE4979"/>
    <w:rsid w:val="00BE6800"/>
    <w:rsid w:val="00BF632F"/>
    <w:rsid w:val="00C00B1E"/>
    <w:rsid w:val="00C03C25"/>
    <w:rsid w:val="00C25D82"/>
    <w:rsid w:val="00C34204"/>
    <w:rsid w:val="00C375A6"/>
    <w:rsid w:val="00C4462B"/>
    <w:rsid w:val="00C47B7D"/>
    <w:rsid w:val="00C52FB0"/>
    <w:rsid w:val="00C62975"/>
    <w:rsid w:val="00C63BE7"/>
    <w:rsid w:val="00C702C2"/>
    <w:rsid w:val="00C729C3"/>
    <w:rsid w:val="00C7512C"/>
    <w:rsid w:val="00C757EF"/>
    <w:rsid w:val="00C912CD"/>
    <w:rsid w:val="00C9279C"/>
    <w:rsid w:val="00C96324"/>
    <w:rsid w:val="00CA59DC"/>
    <w:rsid w:val="00CB1242"/>
    <w:rsid w:val="00CB7083"/>
    <w:rsid w:val="00CD25D1"/>
    <w:rsid w:val="00CE1829"/>
    <w:rsid w:val="00CE3209"/>
    <w:rsid w:val="00CE567D"/>
    <w:rsid w:val="00CE79E2"/>
    <w:rsid w:val="00CF0D58"/>
    <w:rsid w:val="00CF2FB3"/>
    <w:rsid w:val="00CF4AB0"/>
    <w:rsid w:val="00D0583C"/>
    <w:rsid w:val="00D063C4"/>
    <w:rsid w:val="00D1043E"/>
    <w:rsid w:val="00D1124A"/>
    <w:rsid w:val="00D13501"/>
    <w:rsid w:val="00D138BD"/>
    <w:rsid w:val="00D179EC"/>
    <w:rsid w:val="00D209D2"/>
    <w:rsid w:val="00D21B01"/>
    <w:rsid w:val="00D31793"/>
    <w:rsid w:val="00D32990"/>
    <w:rsid w:val="00D32C0F"/>
    <w:rsid w:val="00D33E04"/>
    <w:rsid w:val="00D37D29"/>
    <w:rsid w:val="00D41B00"/>
    <w:rsid w:val="00D421E8"/>
    <w:rsid w:val="00D4394A"/>
    <w:rsid w:val="00D440DF"/>
    <w:rsid w:val="00D5076F"/>
    <w:rsid w:val="00D51A23"/>
    <w:rsid w:val="00D55DDD"/>
    <w:rsid w:val="00D60BDE"/>
    <w:rsid w:val="00D6658B"/>
    <w:rsid w:val="00D74BC5"/>
    <w:rsid w:val="00D76E4A"/>
    <w:rsid w:val="00D815F7"/>
    <w:rsid w:val="00D830E1"/>
    <w:rsid w:val="00D86CFD"/>
    <w:rsid w:val="00D86D94"/>
    <w:rsid w:val="00D87957"/>
    <w:rsid w:val="00D91577"/>
    <w:rsid w:val="00D91DA2"/>
    <w:rsid w:val="00D91E7A"/>
    <w:rsid w:val="00D94A14"/>
    <w:rsid w:val="00DA2919"/>
    <w:rsid w:val="00DA6671"/>
    <w:rsid w:val="00DB143A"/>
    <w:rsid w:val="00DB7C93"/>
    <w:rsid w:val="00DC3124"/>
    <w:rsid w:val="00DC6C64"/>
    <w:rsid w:val="00DD5977"/>
    <w:rsid w:val="00DD6BC8"/>
    <w:rsid w:val="00DE03F8"/>
    <w:rsid w:val="00DE5546"/>
    <w:rsid w:val="00DF730F"/>
    <w:rsid w:val="00E14311"/>
    <w:rsid w:val="00E152F6"/>
    <w:rsid w:val="00E1790B"/>
    <w:rsid w:val="00E210E7"/>
    <w:rsid w:val="00E24B8D"/>
    <w:rsid w:val="00E312D9"/>
    <w:rsid w:val="00E31E82"/>
    <w:rsid w:val="00E32814"/>
    <w:rsid w:val="00E40305"/>
    <w:rsid w:val="00E40E8B"/>
    <w:rsid w:val="00E42670"/>
    <w:rsid w:val="00E43E2E"/>
    <w:rsid w:val="00E5351B"/>
    <w:rsid w:val="00E57619"/>
    <w:rsid w:val="00E57C29"/>
    <w:rsid w:val="00E61891"/>
    <w:rsid w:val="00E65725"/>
    <w:rsid w:val="00E65F9E"/>
    <w:rsid w:val="00E95DEA"/>
    <w:rsid w:val="00EA0AF4"/>
    <w:rsid w:val="00EC12B0"/>
    <w:rsid w:val="00EC6B47"/>
    <w:rsid w:val="00EC6B7B"/>
    <w:rsid w:val="00ED26C2"/>
    <w:rsid w:val="00ED4854"/>
    <w:rsid w:val="00EE4B9F"/>
    <w:rsid w:val="00EF39CB"/>
    <w:rsid w:val="00EF70C2"/>
    <w:rsid w:val="00F00B6E"/>
    <w:rsid w:val="00F118B3"/>
    <w:rsid w:val="00F1222B"/>
    <w:rsid w:val="00F222DE"/>
    <w:rsid w:val="00F24574"/>
    <w:rsid w:val="00F37DC0"/>
    <w:rsid w:val="00F444AA"/>
    <w:rsid w:val="00F60C1D"/>
    <w:rsid w:val="00F666FD"/>
    <w:rsid w:val="00F73F16"/>
    <w:rsid w:val="00F7419F"/>
    <w:rsid w:val="00F753E3"/>
    <w:rsid w:val="00F8169C"/>
    <w:rsid w:val="00F82545"/>
    <w:rsid w:val="00F82C8F"/>
    <w:rsid w:val="00F871FA"/>
    <w:rsid w:val="00F9162C"/>
    <w:rsid w:val="00F91D2F"/>
    <w:rsid w:val="00F97F34"/>
    <w:rsid w:val="00FA2D09"/>
    <w:rsid w:val="00FB3AE4"/>
    <w:rsid w:val="00FB44A0"/>
    <w:rsid w:val="00FC1C63"/>
    <w:rsid w:val="00FC4D6B"/>
    <w:rsid w:val="00FC7A2E"/>
    <w:rsid w:val="00FD2FC0"/>
    <w:rsid w:val="00FD4B5F"/>
    <w:rsid w:val="00FD7C27"/>
    <w:rsid w:val="00FE0262"/>
    <w:rsid w:val="00FE0FB1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CB26C"/>
  <w15:chartTrackingRefBased/>
  <w15:docId w15:val="{93CE8753-4F08-4AF5-8B30-FAE52C36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0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A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A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1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69"/>
  </w:style>
  <w:style w:type="paragraph" w:styleId="Footer">
    <w:name w:val="footer"/>
    <w:basedOn w:val="Normal"/>
    <w:link w:val="FooterChar"/>
    <w:uiPriority w:val="99"/>
    <w:unhideWhenUsed/>
    <w:rsid w:val="0087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69"/>
  </w:style>
  <w:style w:type="character" w:styleId="CommentReference">
    <w:name w:val="annotation reference"/>
    <w:basedOn w:val="DefaultParagraphFont"/>
    <w:uiPriority w:val="99"/>
    <w:semiHidden/>
    <w:unhideWhenUsed/>
    <w:rsid w:val="0047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CC26630-0412-40CB-BBB1-BCC77328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11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Finlay</dc:creator>
  <cp:keywords/>
  <dc:description/>
  <cp:lastModifiedBy>Molly Finlay</cp:lastModifiedBy>
  <cp:revision>592</cp:revision>
  <cp:lastPrinted>2022-03-10T22:25:00Z</cp:lastPrinted>
  <dcterms:created xsi:type="dcterms:W3CDTF">2022-03-05T20:26:00Z</dcterms:created>
  <dcterms:modified xsi:type="dcterms:W3CDTF">2023-01-07T21:32:00Z</dcterms:modified>
</cp:coreProperties>
</file>